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6BFD" w:rsidRDefault="00332560">
      <w:pPr>
        <w:tabs>
          <w:tab w:val="left" w:pos="1063"/>
        </w:tabs>
        <w:spacing w:line="560" w:lineRule="exact"/>
        <w:jc w:val="center"/>
        <w:rPr>
          <w:rFonts w:ascii="宋体" w:eastAsia="宋体" w:hAnsi="宋体" w:cs="宋体"/>
          <w:b/>
          <w:bCs/>
          <w:color w:val="000000"/>
          <w:kern w:val="0"/>
          <w:sz w:val="44"/>
          <w:szCs w:val="44"/>
        </w:rPr>
      </w:pPr>
      <w:r>
        <w:rPr>
          <w:rFonts w:ascii="宋体" w:eastAsia="宋体" w:hAnsi="宋体" w:cs="宋体" w:hint="eastAsia"/>
          <w:b/>
          <w:bCs/>
          <w:color w:val="000000"/>
          <w:kern w:val="0"/>
          <w:sz w:val="44"/>
          <w:szCs w:val="44"/>
        </w:rPr>
        <w:t>口咽</w:t>
      </w:r>
      <w:r>
        <w:rPr>
          <w:rFonts w:ascii="宋体" w:eastAsia="宋体" w:hAnsi="宋体" w:cs="宋体" w:hint="eastAsia"/>
          <w:b/>
          <w:bCs/>
          <w:color w:val="000000"/>
          <w:kern w:val="0"/>
          <w:sz w:val="44"/>
          <w:szCs w:val="44"/>
        </w:rPr>
        <w:t>/</w:t>
      </w:r>
      <w:r>
        <w:rPr>
          <w:rFonts w:ascii="宋体" w:eastAsia="宋体" w:hAnsi="宋体" w:cs="宋体" w:hint="eastAsia"/>
          <w:b/>
          <w:bCs/>
          <w:color w:val="000000"/>
          <w:kern w:val="0"/>
          <w:sz w:val="44"/>
          <w:szCs w:val="44"/>
        </w:rPr>
        <w:t>鼻咽通气道注册审查指导原则</w:t>
      </w:r>
    </w:p>
    <w:p w:rsidR="00E76BFD" w:rsidRDefault="00332560">
      <w:pPr>
        <w:tabs>
          <w:tab w:val="left" w:pos="1063"/>
        </w:tabs>
        <w:spacing w:line="560" w:lineRule="exact"/>
        <w:jc w:val="center"/>
        <w:rPr>
          <w:rFonts w:ascii="宋体" w:eastAsia="宋体" w:hAnsi="宋体" w:cs="宋体"/>
          <w:b/>
          <w:bCs/>
          <w:color w:val="000000"/>
          <w:kern w:val="0"/>
          <w:sz w:val="44"/>
          <w:szCs w:val="44"/>
        </w:rPr>
      </w:pPr>
      <w:r>
        <w:rPr>
          <w:rFonts w:ascii="宋体" w:eastAsia="宋体" w:hAnsi="宋体" w:cs="宋体" w:hint="eastAsia"/>
          <w:b/>
          <w:bCs/>
          <w:color w:val="000000"/>
          <w:kern w:val="0"/>
          <w:sz w:val="44"/>
          <w:szCs w:val="44"/>
        </w:rPr>
        <w:t>及编制说明</w:t>
      </w:r>
    </w:p>
    <w:p w:rsidR="00F41172" w:rsidRDefault="00F41172">
      <w:pPr>
        <w:tabs>
          <w:tab w:val="left" w:pos="1063"/>
        </w:tabs>
        <w:spacing w:line="560" w:lineRule="exact"/>
        <w:jc w:val="center"/>
        <w:rPr>
          <w:rFonts w:ascii="宋体" w:eastAsia="宋体" w:hAnsi="宋体" w:cs="宋体"/>
          <w:b/>
          <w:bCs/>
          <w:color w:val="000000"/>
          <w:kern w:val="0"/>
          <w:sz w:val="44"/>
          <w:szCs w:val="44"/>
        </w:rPr>
      </w:pPr>
    </w:p>
    <w:p w:rsidR="00E76BFD" w:rsidRDefault="00332560">
      <w:pPr>
        <w:spacing w:line="520" w:lineRule="exact"/>
        <w:ind w:firstLineChars="200" w:firstLine="640"/>
        <w:rPr>
          <w:rFonts w:eastAsia="仿宋_GB2312"/>
          <w:sz w:val="32"/>
          <w:szCs w:val="32"/>
        </w:rPr>
      </w:pPr>
      <w:r>
        <w:rPr>
          <w:rFonts w:eastAsia="仿宋_GB2312" w:hint="eastAsia"/>
          <w:sz w:val="32"/>
          <w:szCs w:val="32"/>
        </w:rPr>
        <w:t>本指导原则旨在指导注册申请人对口咽</w:t>
      </w:r>
      <w:r>
        <w:rPr>
          <w:rFonts w:ascii="仿宋_GB2312" w:eastAsia="仿宋_GB2312" w:hint="eastAsia"/>
          <w:sz w:val="32"/>
          <w:szCs w:val="32"/>
        </w:rPr>
        <w:t>/</w:t>
      </w:r>
      <w:r>
        <w:rPr>
          <w:rFonts w:eastAsia="仿宋_GB2312" w:hint="eastAsia"/>
          <w:sz w:val="32"/>
          <w:szCs w:val="32"/>
        </w:rPr>
        <w:t>鼻咽通气道注册申报资料的准备及撰写，同时也为技术审评部门对口咽</w:t>
      </w:r>
      <w:r>
        <w:rPr>
          <w:rFonts w:ascii="仿宋_GB2312" w:eastAsia="仿宋_GB2312" w:hint="eastAsia"/>
          <w:sz w:val="32"/>
          <w:szCs w:val="32"/>
        </w:rPr>
        <w:t>/</w:t>
      </w:r>
      <w:r>
        <w:rPr>
          <w:rFonts w:eastAsia="仿宋_GB2312" w:hint="eastAsia"/>
          <w:sz w:val="32"/>
          <w:szCs w:val="32"/>
        </w:rPr>
        <w:t>鼻咽通气道注册申报资料的技术审评提供参考。</w:t>
      </w:r>
    </w:p>
    <w:p w:rsidR="00E76BFD" w:rsidRDefault="00332560">
      <w:pPr>
        <w:spacing w:line="520" w:lineRule="exact"/>
        <w:ind w:firstLineChars="200" w:firstLine="640"/>
        <w:rPr>
          <w:rFonts w:eastAsia="仿宋_GB2312"/>
          <w:sz w:val="32"/>
          <w:szCs w:val="32"/>
        </w:rPr>
      </w:pPr>
      <w:bookmarkStart w:id="0" w:name="_GoBack"/>
      <w:bookmarkEnd w:id="0"/>
      <w:r>
        <w:rPr>
          <w:rFonts w:eastAsia="仿宋_GB2312" w:hint="eastAsia"/>
          <w:sz w:val="32"/>
          <w:szCs w:val="32"/>
        </w:rPr>
        <w:t>本指导原则是对口咽</w:t>
      </w:r>
      <w:r>
        <w:rPr>
          <w:rFonts w:ascii="仿宋_GB2312" w:eastAsia="仿宋_GB2312" w:hint="eastAsia"/>
          <w:sz w:val="32"/>
          <w:szCs w:val="32"/>
        </w:rPr>
        <w:t>/</w:t>
      </w:r>
      <w:r>
        <w:rPr>
          <w:rFonts w:eastAsia="仿宋_GB2312" w:hint="eastAsia"/>
          <w:sz w:val="32"/>
          <w:szCs w:val="32"/>
        </w:rPr>
        <w:t>鼻咽通气道的一般要求，申请人应依据产品的具体特性确定其中内容是否适用。若不适用，需具体阐述理由及相应的科学依据，并依据产品的具体特性对注册申报资料的内容进行充实和细化。</w:t>
      </w:r>
    </w:p>
    <w:p w:rsidR="00E76BFD" w:rsidRDefault="00332560">
      <w:pPr>
        <w:spacing w:line="520" w:lineRule="exact"/>
        <w:ind w:firstLineChars="200" w:firstLine="640"/>
        <w:rPr>
          <w:rFonts w:eastAsia="仿宋_GB2312"/>
          <w:sz w:val="32"/>
          <w:szCs w:val="32"/>
        </w:rPr>
      </w:pPr>
      <w:r>
        <w:rPr>
          <w:rFonts w:eastAsia="仿宋_GB2312" w:hint="eastAsia"/>
          <w:sz w:val="32"/>
          <w:szCs w:val="32"/>
        </w:rPr>
        <w:t>本指导原则是供注册申请人和技术审评人员使用的指导性文件，但不包括审评审批所涉及的行政事项，亦不作为法规强制执行，应在遵循相关法规的前提下使用本指导原则。如果有能够满足相关法规要求的其他方法，也可以采用，但是需要提供详细的研究资料和验证资料。</w:t>
      </w:r>
    </w:p>
    <w:p w:rsidR="00E76BFD" w:rsidRDefault="00332560">
      <w:pPr>
        <w:spacing w:line="520" w:lineRule="exact"/>
        <w:ind w:firstLineChars="200" w:firstLine="640"/>
        <w:rPr>
          <w:rFonts w:eastAsia="仿宋_GB2312"/>
          <w:sz w:val="32"/>
          <w:szCs w:val="32"/>
        </w:rPr>
      </w:pPr>
      <w:r>
        <w:rPr>
          <w:rFonts w:eastAsia="仿宋_GB2312" w:hint="eastAsia"/>
          <w:sz w:val="32"/>
          <w:szCs w:val="32"/>
        </w:rPr>
        <w:t>本指导原则是在现行法规和标准体系以及当前认知水平下制定，随着法规和标准的不断完善，以及科学技术的不断发展，相关内容也将适时进行调整。</w:t>
      </w:r>
    </w:p>
    <w:p w:rsidR="00E76BFD" w:rsidRDefault="00332560">
      <w:pPr>
        <w:spacing w:line="520" w:lineRule="exact"/>
        <w:ind w:rightChars="-32" w:right="-67" w:firstLineChars="200" w:firstLine="640"/>
        <w:rPr>
          <w:rFonts w:eastAsia="黑体"/>
          <w:sz w:val="32"/>
          <w:szCs w:val="32"/>
        </w:rPr>
      </w:pPr>
      <w:r>
        <w:rPr>
          <w:rFonts w:eastAsia="黑体"/>
          <w:sz w:val="32"/>
          <w:szCs w:val="32"/>
        </w:rPr>
        <w:t>一、适用范围</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本指导原则所涉及的口咽</w:t>
      </w:r>
      <w:r>
        <w:rPr>
          <w:rFonts w:ascii="仿宋_GB2312" w:eastAsia="仿宋_GB2312" w:hint="eastAsia"/>
          <w:sz w:val="32"/>
          <w:szCs w:val="32"/>
        </w:rPr>
        <w:t>/</w:t>
      </w:r>
      <w:r>
        <w:rPr>
          <w:rFonts w:ascii="仿宋_GB2312" w:eastAsia="仿宋_GB2312" w:hint="eastAsia"/>
          <w:sz w:val="32"/>
          <w:szCs w:val="32"/>
        </w:rPr>
        <w:t>鼻咽通气道是指在《医疗器械分类目录》中分类编码为</w:t>
      </w:r>
      <w:r>
        <w:rPr>
          <w:rFonts w:ascii="仿宋_GB2312" w:eastAsia="仿宋_GB2312" w:hint="eastAsia"/>
          <w:sz w:val="32"/>
          <w:szCs w:val="32"/>
        </w:rPr>
        <w:t>08-06-06</w:t>
      </w:r>
      <w:r>
        <w:rPr>
          <w:rFonts w:ascii="仿宋_GB2312" w:eastAsia="仿宋_GB2312" w:hint="eastAsia"/>
          <w:sz w:val="32"/>
          <w:szCs w:val="32"/>
        </w:rPr>
        <w:t>的口咽</w:t>
      </w:r>
      <w:r>
        <w:rPr>
          <w:rFonts w:ascii="仿宋_GB2312" w:eastAsia="仿宋_GB2312" w:hint="eastAsia"/>
          <w:sz w:val="32"/>
          <w:szCs w:val="32"/>
        </w:rPr>
        <w:t>/</w:t>
      </w:r>
      <w:r>
        <w:rPr>
          <w:rFonts w:ascii="仿宋_GB2312" w:eastAsia="仿宋_GB2312" w:hint="eastAsia"/>
          <w:sz w:val="32"/>
          <w:szCs w:val="32"/>
        </w:rPr>
        <w:t>鼻咽通气道，该产品的管理类</w:t>
      </w:r>
      <w:r>
        <w:rPr>
          <w:rFonts w:ascii="仿宋_GB2312" w:eastAsia="仿宋_GB2312" w:hint="eastAsia"/>
          <w:sz w:val="32"/>
          <w:szCs w:val="32"/>
        </w:rPr>
        <w:t>别为</w:t>
      </w:r>
      <w:r>
        <w:rPr>
          <w:rFonts w:ascii="仿宋_GB2312" w:eastAsia="仿宋_GB2312" w:hint="eastAsia"/>
          <w:sz w:val="32"/>
          <w:szCs w:val="32"/>
        </w:rPr>
        <w:t>II</w:t>
      </w:r>
      <w:r>
        <w:rPr>
          <w:rFonts w:ascii="仿宋_GB2312" w:eastAsia="仿宋_GB2312" w:hint="eastAsia"/>
          <w:sz w:val="32"/>
          <w:szCs w:val="32"/>
        </w:rPr>
        <w:t>类。</w:t>
      </w:r>
      <w:r>
        <w:rPr>
          <w:rFonts w:ascii="仿宋_GB2312" w:eastAsia="仿宋_GB2312" w:hint="eastAsia"/>
          <w:sz w:val="32"/>
          <w:szCs w:val="32"/>
        </w:rPr>
        <w:t>本指导原则不适用于具有特殊功能的</w:t>
      </w:r>
      <w:r>
        <w:rPr>
          <w:rFonts w:ascii="仿宋_GB2312" w:eastAsia="仿宋_GB2312" w:hint="eastAsia"/>
          <w:sz w:val="32"/>
          <w:szCs w:val="32"/>
        </w:rPr>
        <w:t>通气道</w:t>
      </w:r>
      <w:r>
        <w:rPr>
          <w:rFonts w:ascii="仿宋_GB2312" w:eastAsia="仿宋_GB2312" w:hint="eastAsia"/>
          <w:sz w:val="32"/>
          <w:szCs w:val="32"/>
        </w:rPr>
        <w:t>，</w:t>
      </w:r>
      <w:r>
        <w:rPr>
          <w:rFonts w:ascii="仿宋_GB2312" w:eastAsia="仿宋_GB2312" w:hint="eastAsia"/>
          <w:sz w:val="32"/>
          <w:szCs w:val="32"/>
        </w:rPr>
        <w:t>如需配合呼吸设备使用的喷射鼻咽通气道。</w:t>
      </w:r>
    </w:p>
    <w:p w:rsidR="00E76BFD" w:rsidRDefault="00332560">
      <w:pPr>
        <w:spacing w:line="520" w:lineRule="exact"/>
        <w:ind w:rightChars="-32" w:right="-67" w:firstLineChars="200" w:firstLine="640"/>
        <w:rPr>
          <w:rFonts w:eastAsia="黑体"/>
          <w:sz w:val="32"/>
          <w:szCs w:val="32"/>
        </w:rPr>
      </w:pPr>
      <w:r>
        <w:rPr>
          <w:rFonts w:eastAsia="黑体"/>
          <w:sz w:val="32"/>
          <w:szCs w:val="32"/>
        </w:rPr>
        <w:t>二、</w:t>
      </w:r>
      <w:r>
        <w:rPr>
          <w:rFonts w:eastAsia="黑体" w:hint="eastAsia"/>
          <w:sz w:val="32"/>
          <w:szCs w:val="32"/>
        </w:rPr>
        <w:t>注册</w:t>
      </w:r>
      <w:r>
        <w:rPr>
          <w:rFonts w:eastAsia="黑体"/>
          <w:sz w:val="32"/>
          <w:szCs w:val="32"/>
        </w:rPr>
        <w:t>审查要点</w:t>
      </w:r>
    </w:p>
    <w:p w:rsidR="00E76BFD" w:rsidRDefault="00332560">
      <w:pPr>
        <w:spacing w:line="520" w:lineRule="exact"/>
        <w:ind w:firstLineChars="200" w:firstLine="640"/>
        <w:rPr>
          <w:rFonts w:eastAsia="仿宋_GB2312"/>
          <w:sz w:val="32"/>
          <w:szCs w:val="32"/>
        </w:rPr>
      </w:pPr>
      <w:r>
        <w:rPr>
          <w:rFonts w:eastAsia="仿宋_GB2312" w:hint="eastAsia"/>
          <w:sz w:val="32"/>
          <w:szCs w:val="32"/>
        </w:rPr>
        <w:t>注册申报资料</w:t>
      </w:r>
      <w:bookmarkStart w:id="1" w:name="_Hlk106979187"/>
      <w:r>
        <w:rPr>
          <w:rFonts w:eastAsia="仿宋_GB2312" w:hint="eastAsia"/>
          <w:sz w:val="32"/>
          <w:szCs w:val="32"/>
        </w:rPr>
        <w:t>应</w:t>
      </w:r>
      <w:r>
        <w:rPr>
          <w:rFonts w:eastAsia="仿宋_GB2312" w:hint="eastAsia"/>
          <w:sz w:val="32"/>
          <w:szCs w:val="32"/>
        </w:rPr>
        <w:t>符合国家药品监督管理局《关于公布医疗器械注册申报资料要求和批准证明文件格式的公告》中对</w:t>
      </w:r>
      <w:r>
        <w:rPr>
          <w:rFonts w:eastAsia="仿宋_GB2312" w:hint="eastAsia"/>
          <w:sz w:val="32"/>
          <w:szCs w:val="32"/>
        </w:rPr>
        <w:lastRenderedPageBreak/>
        <w:t>注册申报资料的要求</w:t>
      </w:r>
      <w:bookmarkEnd w:id="1"/>
      <w:r>
        <w:rPr>
          <w:rFonts w:eastAsia="仿宋_GB2312" w:hint="eastAsia"/>
          <w:sz w:val="32"/>
          <w:szCs w:val="32"/>
        </w:rPr>
        <w:t>，同时宜符合以下要求：</w:t>
      </w:r>
    </w:p>
    <w:p w:rsidR="00E76BFD" w:rsidRDefault="00332560">
      <w:pPr>
        <w:spacing w:line="520" w:lineRule="exact"/>
        <w:ind w:rightChars="-32" w:right="-67" w:firstLineChars="200" w:firstLine="640"/>
        <w:rPr>
          <w:rFonts w:eastAsia="楷体_GB2312"/>
          <w:sz w:val="32"/>
          <w:szCs w:val="32"/>
        </w:rPr>
      </w:pPr>
      <w:r>
        <w:rPr>
          <w:rFonts w:eastAsia="楷体_GB2312"/>
          <w:sz w:val="32"/>
          <w:szCs w:val="32"/>
        </w:rPr>
        <w:t>（一）</w:t>
      </w:r>
      <w:r>
        <w:rPr>
          <w:rFonts w:eastAsia="楷体_GB2312" w:hint="eastAsia"/>
          <w:sz w:val="32"/>
          <w:szCs w:val="32"/>
        </w:rPr>
        <w:t>监管信息</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产品名称</w:t>
      </w:r>
    </w:p>
    <w:p w:rsidR="00E76BFD" w:rsidRDefault="00332560">
      <w:pPr>
        <w:spacing w:line="520" w:lineRule="exact"/>
        <w:ind w:rightChars="-32" w:right="-67" w:firstLineChars="200" w:firstLine="640"/>
        <w:rPr>
          <w:rFonts w:ascii="仿宋_GB2312" w:eastAsia="仿宋_GB2312"/>
          <w:sz w:val="32"/>
          <w:szCs w:val="32"/>
        </w:rPr>
      </w:pPr>
      <w:r>
        <w:rPr>
          <w:rFonts w:eastAsia="仿宋_GB2312"/>
          <w:bCs/>
          <w:color w:val="000000"/>
          <w:sz w:val="32"/>
          <w:szCs w:val="32"/>
        </w:rPr>
        <w:t>产品名称应符合《医疗器械通用名称命名规则》、《无源手术器械通用名称命名指导原则》及《</w:t>
      </w:r>
      <w:r>
        <w:rPr>
          <w:rFonts w:eastAsia="仿宋_GB2312" w:hint="eastAsia"/>
          <w:bCs/>
          <w:color w:val="000000"/>
          <w:sz w:val="32"/>
          <w:szCs w:val="32"/>
        </w:rPr>
        <w:t>呼吸、麻醉和急救器械通用名称命名指导原则</w:t>
      </w:r>
      <w:r>
        <w:rPr>
          <w:rFonts w:eastAsia="仿宋_GB2312"/>
          <w:bCs/>
          <w:color w:val="000000"/>
          <w:sz w:val="32"/>
          <w:szCs w:val="32"/>
        </w:rPr>
        <w:t>》</w:t>
      </w:r>
      <w:r>
        <w:rPr>
          <w:rFonts w:eastAsia="仿宋_GB2312" w:hint="eastAsia"/>
          <w:bCs/>
          <w:color w:val="000000"/>
          <w:sz w:val="32"/>
          <w:szCs w:val="32"/>
        </w:rPr>
        <w:t>的要求</w:t>
      </w:r>
      <w:r>
        <w:rPr>
          <w:rFonts w:ascii="仿宋_GB2312" w:eastAsia="仿宋_GB2312" w:hint="eastAsia"/>
          <w:sz w:val="32"/>
          <w:szCs w:val="32"/>
        </w:rPr>
        <w:t>。建议使用“口咽通气道</w:t>
      </w:r>
      <w:r>
        <w:rPr>
          <w:rFonts w:ascii="仿宋_GB2312" w:eastAsia="仿宋_GB2312" w:hint="eastAsia"/>
          <w:sz w:val="32"/>
          <w:szCs w:val="32"/>
        </w:rPr>
        <w:t>、</w:t>
      </w:r>
      <w:r>
        <w:rPr>
          <w:rFonts w:ascii="仿宋_GB2312" w:eastAsia="仿宋_GB2312" w:hint="eastAsia"/>
          <w:sz w:val="32"/>
          <w:szCs w:val="32"/>
        </w:rPr>
        <w:t>鼻咽通气道”作为产品名称核心词，以使用形式、提供方式等作为特征词，例如，一次性使用口咽通气道</w:t>
      </w:r>
      <w:r>
        <w:rPr>
          <w:rFonts w:ascii="仿宋_GB2312" w:eastAsia="仿宋_GB2312" w:hint="eastAsia"/>
          <w:sz w:val="32"/>
          <w:szCs w:val="32"/>
        </w:rPr>
        <w:t>、</w:t>
      </w:r>
      <w:r>
        <w:rPr>
          <w:rFonts w:ascii="仿宋_GB2312" w:eastAsia="仿宋_GB2312" w:hint="eastAsia"/>
          <w:sz w:val="32"/>
          <w:szCs w:val="32"/>
        </w:rPr>
        <w:t>无菌</w:t>
      </w:r>
      <w:r>
        <w:rPr>
          <w:rFonts w:ascii="仿宋_GB2312" w:eastAsia="仿宋_GB2312" w:hint="eastAsia"/>
          <w:sz w:val="32"/>
          <w:szCs w:val="32"/>
        </w:rPr>
        <w:t>鼻咽通气道。产品名称宜使用中文。</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注册单元划分</w:t>
      </w:r>
      <w:r>
        <w:rPr>
          <w:rFonts w:ascii="仿宋_GB2312" w:eastAsia="仿宋_GB2312" w:hint="eastAsia"/>
          <w:sz w:val="32"/>
          <w:szCs w:val="32"/>
        </w:rPr>
        <w:t>的原则和实例</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口咽</w:t>
      </w:r>
      <w:r>
        <w:rPr>
          <w:rFonts w:ascii="仿宋_GB2312" w:eastAsia="仿宋_GB2312" w:hint="eastAsia"/>
          <w:sz w:val="32"/>
          <w:szCs w:val="32"/>
        </w:rPr>
        <w:t>/</w:t>
      </w:r>
      <w:r>
        <w:rPr>
          <w:rFonts w:ascii="仿宋_GB2312" w:eastAsia="仿宋_GB2312" w:hint="eastAsia"/>
          <w:sz w:val="32"/>
          <w:szCs w:val="32"/>
        </w:rPr>
        <w:t>鼻咽通气道注册单元划分建议依据《医疗器械注册单元划分指导原则》进行，并着重考虑产品的</w:t>
      </w:r>
      <w:r>
        <w:rPr>
          <w:rFonts w:ascii="仿宋_GB2312" w:eastAsia="仿宋_GB2312" w:hint="eastAsia"/>
          <w:sz w:val="32"/>
          <w:szCs w:val="32"/>
        </w:rPr>
        <w:t>工作</w:t>
      </w:r>
      <w:r>
        <w:rPr>
          <w:rFonts w:ascii="仿宋_GB2312" w:eastAsia="仿宋_GB2312" w:hint="eastAsia"/>
          <w:sz w:val="32"/>
          <w:szCs w:val="32"/>
        </w:rPr>
        <w:t>原理、结构组成、性能指标、适用范围等因素，如：</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）一次性使用或重复性使用导致产品性能指标不同的口咽</w:t>
      </w:r>
      <w:r>
        <w:rPr>
          <w:rFonts w:ascii="仿宋_GB2312" w:eastAsia="仿宋_GB2312" w:hint="eastAsia"/>
          <w:sz w:val="32"/>
          <w:szCs w:val="32"/>
        </w:rPr>
        <w:t>/</w:t>
      </w:r>
      <w:r>
        <w:rPr>
          <w:rFonts w:ascii="仿宋_GB2312" w:eastAsia="仿宋_GB2312" w:hint="eastAsia"/>
          <w:sz w:val="32"/>
          <w:szCs w:val="32"/>
        </w:rPr>
        <w:t>鼻咽通气道</w:t>
      </w:r>
      <w:r>
        <w:rPr>
          <w:rFonts w:ascii="仿宋_GB2312" w:eastAsia="仿宋_GB2312" w:hint="eastAsia"/>
          <w:sz w:val="32"/>
          <w:szCs w:val="32"/>
        </w:rPr>
        <w:t>应</w:t>
      </w:r>
      <w:r>
        <w:rPr>
          <w:rFonts w:ascii="仿宋_GB2312" w:eastAsia="仿宋_GB2312" w:hint="eastAsia"/>
          <w:sz w:val="32"/>
          <w:szCs w:val="32"/>
        </w:rPr>
        <w:t>划分为不同注册单元。</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主要制造材料</w:t>
      </w:r>
      <w:r>
        <w:rPr>
          <w:rFonts w:ascii="仿宋_GB2312" w:eastAsia="仿宋_GB2312" w:hint="eastAsia"/>
          <w:sz w:val="32"/>
          <w:szCs w:val="32"/>
        </w:rPr>
        <w:t>不同的口咽</w:t>
      </w:r>
      <w:r>
        <w:rPr>
          <w:rFonts w:ascii="仿宋_GB2312" w:eastAsia="仿宋_GB2312" w:hint="eastAsia"/>
          <w:sz w:val="32"/>
          <w:szCs w:val="32"/>
        </w:rPr>
        <w:t>/</w:t>
      </w:r>
      <w:r>
        <w:rPr>
          <w:rFonts w:ascii="仿宋_GB2312" w:eastAsia="仿宋_GB2312" w:hint="eastAsia"/>
          <w:sz w:val="32"/>
          <w:szCs w:val="32"/>
        </w:rPr>
        <w:t>鼻咽通气道</w:t>
      </w:r>
      <w:r>
        <w:rPr>
          <w:rFonts w:ascii="仿宋_GB2312" w:eastAsia="仿宋_GB2312" w:hint="eastAsia"/>
          <w:sz w:val="32"/>
          <w:szCs w:val="32"/>
        </w:rPr>
        <w:t>应</w:t>
      </w:r>
      <w:r>
        <w:rPr>
          <w:rFonts w:ascii="仿宋_GB2312" w:eastAsia="仿宋_GB2312" w:hint="eastAsia"/>
          <w:sz w:val="32"/>
          <w:szCs w:val="32"/>
        </w:rPr>
        <w:t>划分为不同的注册单元。</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）灭菌方式不同导致性能指标不同的口咽</w:t>
      </w:r>
      <w:r>
        <w:rPr>
          <w:rFonts w:ascii="仿宋_GB2312" w:eastAsia="仿宋_GB2312" w:hint="eastAsia"/>
          <w:sz w:val="32"/>
          <w:szCs w:val="32"/>
        </w:rPr>
        <w:t>/</w:t>
      </w:r>
      <w:r>
        <w:rPr>
          <w:rFonts w:ascii="仿宋_GB2312" w:eastAsia="仿宋_GB2312" w:hint="eastAsia"/>
          <w:sz w:val="32"/>
          <w:szCs w:val="32"/>
        </w:rPr>
        <w:t>鼻咽通气道，</w:t>
      </w:r>
      <w:r>
        <w:rPr>
          <w:rFonts w:ascii="仿宋_GB2312" w:eastAsia="仿宋_GB2312" w:hint="eastAsia"/>
          <w:sz w:val="32"/>
          <w:szCs w:val="32"/>
        </w:rPr>
        <w:t>应</w:t>
      </w:r>
      <w:r>
        <w:rPr>
          <w:rFonts w:ascii="仿宋_GB2312" w:eastAsia="仿宋_GB2312" w:hint="eastAsia"/>
          <w:sz w:val="32"/>
          <w:szCs w:val="32"/>
        </w:rPr>
        <w:t>划分为不同注册单元。</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）产品使用方式不同而导致适用范围不同</w:t>
      </w:r>
      <w:r>
        <w:rPr>
          <w:rFonts w:ascii="仿宋_GB2312" w:eastAsia="仿宋_GB2312" w:hint="eastAsia"/>
          <w:sz w:val="32"/>
          <w:szCs w:val="32"/>
        </w:rPr>
        <w:t>，</w:t>
      </w:r>
      <w:r>
        <w:rPr>
          <w:rFonts w:ascii="仿宋_GB2312" w:eastAsia="仿宋_GB2312" w:hint="eastAsia"/>
          <w:sz w:val="32"/>
          <w:szCs w:val="32"/>
        </w:rPr>
        <w:t>口咽通气道</w:t>
      </w:r>
      <w:r>
        <w:rPr>
          <w:rFonts w:ascii="仿宋_GB2312" w:eastAsia="仿宋_GB2312" w:hint="eastAsia"/>
          <w:sz w:val="32"/>
          <w:szCs w:val="32"/>
        </w:rPr>
        <w:t>和</w:t>
      </w:r>
      <w:r>
        <w:rPr>
          <w:rFonts w:ascii="仿宋_GB2312" w:eastAsia="仿宋_GB2312" w:hint="eastAsia"/>
          <w:sz w:val="32"/>
          <w:szCs w:val="32"/>
        </w:rPr>
        <w:t>鼻咽通气道</w:t>
      </w:r>
      <w:r>
        <w:rPr>
          <w:rFonts w:ascii="仿宋_GB2312" w:eastAsia="仿宋_GB2312" w:hint="eastAsia"/>
          <w:sz w:val="32"/>
          <w:szCs w:val="32"/>
        </w:rPr>
        <w:t>应</w:t>
      </w:r>
      <w:r>
        <w:rPr>
          <w:rFonts w:ascii="仿宋_GB2312" w:eastAsia="仿宋_GB2312" w:hint="eastAsia"/>
          <w:sz w:val="32"/>
          <w:szCs w:val="32"/>
        </w:rPr>
        <w:t>划分为不同注册单元。</w:t>
      </w:r>
    </w:p>
    <w:p w:rsidR="00E76BFD" w:rsidRDefault="00332560">
      <w:pPr>
        <w:spacing w:line="520" w:lineRule="exact"/>
        <w:ind w:rightChars="-32" w:right="-67" w:firstLineChars="200" w:firstLine="640"/>
        <w:rPr>
          <w:rFonts w:eastAsia="楷体_GB2312"/>
          <w:sz w:val="32"/>
          <w:szCs w:val="32"/>
        </w:rPr>
      </w:pPr>
      <w:r>
        <w:rPr>
          <w:rFonts w:eastAsia="楷体_GB2312"/>
          <w:sz w:val="32"/>
          <w:szCs w:val="32"/>
        </w:rPr>
        <w:t>（二）</w:t>
      </w:r>
      <w:r>
        <w:rPr>
          <w:rFonts w:eastAsia="楷体_GB2312" w:hint="eastAsia"/>
          <w:sz w:val="32"/>
          <w:szCs w:val="32"/>
        </w:rPr>
        <w:t>综述资料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器械及操作原理描述</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sz w:val="32"/>
          <w:szCs w:val="32"/>
        </w:rPr>
        <w:t>维持上呼吸道通畅：对于麻醉病人或昏迷病人，支持舌维持上呼吸道通畅的口底和咽部肌肉松弛，舌向后坠入咽后壁，从而导致上呼吸道梗阻。当经口腔或单侧鼻腔插入口咽</w:t>
      </w:r>
      <w:r>
        <w:rPr>
          <w:rFonts w:ascii="仿宋_GB2312" w:eastAsia="仿宋_GB2312"/>
          <w:sz w:val="32"/>
          <w:szCs w:val="32"/>
        </w:rPr>
        <w:t>/</w:t>
      </w:r>
      <w:r>
        <w:rPr>
          <w:rFonts w:ascii="仿宋_GB2312" w:eastAsia="仿宋_GB2312"/>
          <w:sz w:val="32"/>
          <w:szCs w:val="32"/>
        </w:rPr>
        <w:lastRenderedPageBreak/>
        <w:t>鼻咽通气道后，其前端支撑咽后壁，可快速解除或缓解患者上呼吸道通气不畅或梗阻，达到上呼吸道通气目的。</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产品结构及组成</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产品为带有凸缘端的通气道，通常由</w:t>
      </w:r>
      <w:r>
        <w:rPr>
          <w:rFonts w:ascii="仿宋_GB2312" w:eastAsia="仿宋_GB2312" w:hint="eastAsia"/>
          <w:sz w:val="32"/>
          <w:szCs w:val="32"/>
        </w:rPr>
        <w:t>高分子材料聚氯乙烯（</w:t>
      </w:r>
      <w:r>
        <w:rPr>
          <w:rFonts w:ascii="仿宋_GB2312" w:eastAsia="仿宋_GB2312" w:hint="eastAsia"/>
          <w:sz w:val="32"/>
          <w:szCs w:val="32"/>
        </w:rPr>
        <w:t>PVC</w:t>
      </w:r>
      <w:r>
        <w:rPr>
          <w:rFonts w:ascii="仿宋_GB2312" w:eastAsia="仿宋_GB2312" w:hint="eastAsia"/>
          <w:sz w:val="32"/>
          <w:szCs w:val="32"/>
        </w:rPr>
        <w:t>）、</w:t>
      </w:r>
      <w:hyperlink r:id="rId7" w:tgtFrame="https://baike.so.com/doc/_blank" w:history="1">
        <w:r>
          <w:rPr>
            <w:rFonts w:ascii="仿宋_GB2312" w:eastAsia="仿宋_GB2312"/>
            <w:sz w:val="32"/>
            <w:szCs w:val="32"/>
          </w:rPr>
          <w:t>丙烯腈</w:t>
        </w:r>
        <w:r>
          <w:rPr>
            <w:rFonts w:ascii="仿宋_GB2312" w:eastAsia="仿宋_GB2312"/>
            <w:sz w:val="32"/>
            <w:szCs w:val="32"/>
          </w:rPr>
          <w:t>-</w:t>
        </w:r>
        <w:r>
          <w:rPr>
            <w:rFonts w:ascii="仿宋_GB2312" w:eastAsia="仿宋_GB2312"/>
            <w:sz w:val="32"/>
            <w:szCs w:val="32"/>
          </w:rPr>
          <w:t>丁二烯</w:t>
        </w:r>
        <w:r>
          <w:rPr>
            <w:rFonts w:ascii="仿宋_GB2312" w:eastAsia="仿宋_GB2312"/>
            <w:sz w:val="32"/>
            <w:szCs w:val="32"/>
          </w:rPr>
          <w:t>-</w:t>
        </w:r>
        <w:r>
          <w:rPr>
            <w:rFonts w:ascii="仿宋_GB2312" w:eastAsia="仿宋_GB2312"/>
            <w:sz w:val="32"/>
            <w:szCs w:val="32"/>
          </w:rPr>
          <w:t>苯乙烯共聚物</w:t>
        </w:r>
      </w:hyperlink>
      <w:r>
        <w:rPr>
          <w:rFonts w:ascii="仿宋_GB2312" w:eastAsia="仿宋_GB2312" w:hint="eastAsia"/>
          <w:sz w:val="32"/>
          <w:szCs w:val="32"/>
        </w:rPr>
        <w:t>（</w:t>
      </w:r>
      <w:r>
        <w:rPr>
          <w:rFonts w:ascii="仿宋_GB2312" w:eastAsia="仿宋_GB2312" w:hint="eastAsia"/>
          <w:sz w:val="32"/>
          <w:szCs w:val="32"/>
        </w:rPr>
        <w:t>ABS</w:t>
      </w:r>
      <w:r>
        <w:rPr>
          <w:rFonts w:ascii="仿宋_GB2312" w:eastAsia="仿宋_GB2312" w:hint="eastAsia"/>
          <w:sz w:val="32"/>
          <w:szCs w:val="32"/>
        </w:rPr>
        <w:t>）制成</w:t>
      </w:r>
      <w:r>
        <w:rPr>
          <w:rFonts w:ascii="仿宋_GB2312" w:eastAsia="仿宋_GB2312"/>
          <w:noProof/>
          <w:sz w:val="32"/>
          <w:szCs w:val="32"/>
        </w:rPr>
        <w:drawing>
          <wp:anchor distT="0" distB="0" distL="114300" distR="114300" simplePos="0" relativeHeight="251660288" behindDoc="0" locked="0" layoutInCell="1" allowOverlap="1">
            <wp:simplePos x="0" y="0"/>
            <wp:positionH relativeFrom="column">
              <wp:posOffset>3302000</wp:posOffset>
            </wp:positionH>
            <wp:positionV relativeFrom="paragraph">
              <wp:posOffset>1583055</wp:posOffset>
            </wp:positionV>
            <wp:extent cx="2459990" cy="1732915"/>
            <wp:effectExtent l="0" t="0" r="0" b="0"/>
            <wp:wrapSquare wrapText="bothSides"/>
            <wp:docPr id="1" name="图片 1" descr="鼻咽通气道"/>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鼻咽通气道"/>
                    <pic:cNvPicPr>
                      <a:picLocks noChangeAspect="1"/>
                    </pic:cNvPicPr>
                  </pic:nvPicPr>
                  <pic:blipFill>
                    <a:blip r:embed="rId8"/>
                    <a:stretch>
                      <a:fillRect/>
                    </a:stretch>
                  </pic:blipFill>
                  <pic:spPr>
                    <a:xfrm>
                      <a:off x="0" y="0"/>
                      <a:ext cx="2459990" cy="1732915"/>
                    </a:xfrm>
                    <a:prstGeom prst="rect">
                      <a:avLst/>
                    </a:prstGeom>
                  </pic:spPr>
                </pic:pic>
              </a:graphicData>
            </a:graphic>
          </wp:anchor>
        </w:drawing>
      </w:r>
      <w:r>
        <w:rPr>
          <w:rFonts w:ascii="仿宋_GB2312" w:eastAsia="仿宋_GB2312" w:hint="eastAsia"/>
          <w:sz w:val="32"/>
          <w:szCs w:val="32"/>
        </w:rPr>
        <w:t>。应明确产品的结构及组成，包括附件，并提供相应的结构图示。在图示中标识各部件的名称、重要尺寸信息及测量</w:t>
      </w:r>
      <w:r>
        <w:rPr>
          <w:rFonts w:ascii="仿宋_GB2312" w:eastAsia="仿宋_GB2312" w:hint="eastAsia"/>
          <w:sz w:val="32"/>
          <w:szCs w:val="32"/>
        </w:rPr>
        <w:t>位置。</w:t>
      </w:r>
      <w:r>
        <w:rPr>
          <w:rFonts w:ascii="仿宋_GB2312" w:eastAsia="仿宋_GB2312" w:hint="eastAsia"/>
          <w:sz w:val="32"/>
          <w:szCs w:val="32"/>
        </w:rPr>
        <w:t>结构示意图见图</w:t>
      </w:r>
      <w:r>
        <w:rPr>
          <w:rFonts w:ascii="仿宋_GB2312" w:eastAsia="仿宋_GB2312" w:hint="eastAsia"/>
          <w:sz w:val="32"/>
          <w:szCs w:val="32"/>
        </w:rPr>
        <w:t>1</w:t>
      </w:r>
      <w:r>
        <w:rPr>
          <w:rFonts w:ascii="仿宋_GB2312" w:eastAsia="仿宋_GB2312" w:hint="eastAsia"/>
          <w:sz w:val="32"/>
          <w:szCs w:val="32"/>
        </w:rPr>
        <w:t>、图</w:t>
      </w:r>
      <w:r>
        <w:rPr>
          <w:rFonts w:ascii="仿宋_GB2312" w:eastAsia="仿宋_GB2312" w:hint="eastAsia"/>
          <w:sz w:val="32"/>
          <w:szCs w:val="32"/>
        </w:rPr>
        <w:t>2</w:t>
      </w:r>
      <w:r>
        <w:rPr>
          <w:rFonts w:ascii="仿宋_GB2312" w:eastAsia="仿宋_GB2312" w:hint="eastAsia"/>
          <w:sz w:val="32"/>
          <w:szCs w:val="32"/>
        </w:rPr>
        <w:t>。</w:t>
      </w:r>
    </w:p>
    <w:p w:rsidR="00E76BFD" w:rsidRDefault="00332560">
      <w:pPr>
        <w:spacing w:line="560" w:lineRule="exact"/>
        <w:rPr>
          <w:rFonts w:eastAsia="仿宋_GB2312"/>
          <w:spacing w:val="-1"/>
          <w:sz w:val="32"/>
          <w:szCs w:val="32"/>
        </w:rPr>
      </w:pPr>
      <w:r>
        <w:rPr>
          <w:rFonts w:eastAsia="仿宋_GB2312" w:hint="eastAsia"/>
          <w:noProof/>
          <w:spacing w:val="-1"/>
          <w:sz w:val="32"/>
          <w:szCs w:val="32"/>
        </w:rPr>
        <w:drawing>
          <wp:anchor distT="0" distB="0" distL="114300" distR="114300" simplePos="0" relativeHeight="251659264" behindDoc="0" locked="0" layoutInCell="1" allowOverlap="1">
            <wp:simplePos x="0" y="0"/>
            <wp:positionH relativeFrom="column">
              <wp:posOffset>-14605</wp:posOffset>
            </wp:positionH>
            <wp:positionV relativeFrom="paragraph">
              <wp:posOffset>40005</wp:posOffset>
            </wp:positionV>
            <wp:extent cx="2654300" cy="1615440"/>
            <wp:effectExtent l="0" t="0" r="0" b="0"/>
            <wp:wrapSquare wrapText="bothSides"/>
            <wp:docPr id="2" name="图片 2" descr="口咽通气道（透明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口咽通气道（透明型）"/>
                    <pic:cNvPicPr>
                      <a:picLocks noChangeAspect="1"/>
                    </pic:cNvPicPr>
                  </pic:nvPicPr>
                  <pic:blipFill>
                    <a:blip r:embed="rId9"/>
                    <a:stretch>
                      <a:fillRect/>
                    </a:stretch>
                  </pic:blipFill>
                  <pic:spPr>
                    <a:xfrm>
                      <a:off x="0" y="0"/>
                      <a:ext cx="2654300" cy="1615440"/>
                    </a:xfrm>
                    <a:prstGeom prst="rect">
                      <a:avLst/>
                    </a:prstGeom>
                  </pic:spPr>
                </pic:pic>
              </a:graphicData>
            </a:graphic>
          </wp:anchor>
        </w:drawing>
      </w:r>
    </w:p>
    <w:p w:rsidR="00E76BFD" w:rsidRDefault="00E76BFD">
      <w:pPr>
        <w:spacing w:line="560" w:lineRule="exact"/>
        <w:rPr>
          <w:rFonts w:ascii="黑体" w:eastAsia="黑体" w:hAnsi="黑体" w:cs="黑体"/>
          <w:spacing w:val="-1"/>
          <w:sz w:val="28"/>
          <w:szCs w:val="28"/>
        </w:rPr>
      </w:pPr>
    </w:p>
    <w:p w:rsidR="00E76BFD" w:rsidRDefault="00E76BFD">
      <w:pPr>
        <w:spacing w:line="560" w:lineRule="exact"/>
        <w:rPr>
          <w:rFonts w:ascii="黑体" w:eastAsia="黑体" w:hAnsi="黑体" w:cs="黑体"/>
          <w:spacing w:val="-1"/>
          <w:sz w:val="28"/>
          <w:szCs w:val="28"/>
        </w:rPr>
      </w:pPr>
    </w:p>
    <w:p w:rsidR="00E76BFD" w:rsidRDefault="00E76BFD">
      <w:pPr>
        <w:spacing w:line="560" w:lineRule="exact"/>
        <w:rPr>
          <w:rFonts w:ascii="黑体" w:eastAsia="黑体" w:hAnsi="黑体" w:cs="黑体"/>
          <w:spacing w:val="-1"/>
          <w:sz w:val="28"/>
          <w:szCs w:val="28"/>
        </w:rPr>
      </w:pPr>
    </w:p>
    <w:p w:rsidR="00E76BFD" w:rsidRDefault="00E76BFD">
      <w:pPr>
        <w:spacing w:line="560" w:lineRule="exact"/>
        <w:rPr>
          <w:rFonts w:ascii="黑体" w:eastAsia="黑体" w:hAnsi="黑体" w:cs="黑体"/>
          <w:spacing w:val="-1"/>
          <w:sz w:val="28"/>
          <w:szCs w:val="28"/>
        </w:rPr>
      </w:pPr>
    </w:p>
    <w:p w:rsidR="00E76BFD" w:rsidRDefault="00332560">
      <w:pPr>
        <w:spacing w:line="560" w:lineRule="exact"/>
        <w:ind w:firstLineChars="200" w:firstLine="556"/>
        <w:rPr>
          <w:rFonts w:ascii="仿宋_GB2312" w:eastAsia="仿宋_GB2312"/>
          <w:sz w:val="32"/>
          <w:szCs w:val="32"/>
        </w:rPr>
      </w:pPr>
      <w:r>
        <w:rPr>
          <w:rFonts w:ascii="黑体" w:eastAsia="黑体" w:hAnsi="黑体" w:cs="黑体" w:hint="eastAsia"/>
          <w:spacing w:val="-1"/>
          <w:sz w:val="28"/>
          <w:szCs w:val="28"/>
        </w:rPr>
        <w:t>图</w:t>
      </w:r>
      <w:r>
        <w:rPr>
          <w:rFonts w:ascii="黑体" w:eastAsia="黑体" w:hAnsi="黑体" w:cs="黑体" w:hint="eastAsia"/>
          <w:spacing w:val="-1"/>
          <w:sz w:val="28"/>
          <w:szCs w:val="28"/>
        </w:rPr>
        <w:t xml:space="preserve">1 </w:t>
      </w:r>
      <w:r>
        <w:rPr>
          <w:rFonts w:ascii="黑体" w:eastAsia="黑体" w:hAnsi="黑体" w:cs="黑体" w:hint="eastAsia"/>
          <w:spacing w:val="-1"/>
          <w:sz w:val="28"/>
          <w:szCs w:val="28"/>
        </w:rPr>
        <w:t>口咽通气道</w:t>
      </w:r>
      <w:r>
        <w:rPr>
          <w:rFonts w:ascii="黑体" w:eastAsia="黑体" w:hAnsi="黑体" w:cs="黑体" w:hint="eastAsia"/>
          <w:spacing w:val="-1"/>
          <w:sz w:val="28"/>
          <w:szCs w:val="28"/>
        </w:rPr>
        <w:t xml:space="preserve"> </w:t>
      </w:r>
      <w:r>
        <w:rPr>
          <w:rFonts w:eastAsia="仿宋_GB2312" w:hint="eastAsia"/>
          <w:spacing w:val="-1"/>
          <w:sz w:val="32"/>
          <w:szCs w:val="32"/>
        </w:rPr>
        <w:t xml:space="preserve">                     </w:t>
      </w:r>
      <w:r>
        <w:rPr>
          <w:rFonts w:ascii="黑体" w:eastAsia="黑体" w:hAnsi="黑体" w:cs="黑体" w:hint="eastAsia"/>
          <w:spacing w:val="-1"/>
          <w:sz w:val="28"/>
          <w:szCs w:val="28"/>
        </w:rPr>
        <w:t>图</w:t>
      </w:r>
      <w:r>
        <w:rPr>
          <w:rFonts w:ascii="黑体" w:eastAsia="黑体" w:hAnsi="黑体" w:cs="黑体" w:hint="eastAsia"/>
          <w:spacing w:val="-1"/>
          <w:sz w:val="28"/>
          <w:szCs w:val="28"/>
        </w:rPr>
        <w:t xml:space="preserve">2 </w:t>
      </w:r>
      <w:r>
        <w:rPr>
          <w:rFonts w:ascii="黑体" w:eastAsia="黑体" w:hAnsi="黑体" w:cs="黑体" w:hint="eastAsia"/>
          <w:spacing w:val="-1"/>
          <w:sz w:val="28"/>
          <w:szCs w:val="28"/>
        </w:rPr>
        <w:t>鼻咽通气道</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原材料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描述与使用者和</w:t>
      </w:r>
      <w:r>
        <w:rPr>
          <w:rFonts w:ascii="仿宋_GB2312" w:eastAsia="仿宋_GB2312" w:hint="eastAsia"/>
          <w:sz w:val="32"/>
          <w:szCs w:val="32"/>
        </w:rPr>
        <w:t>/</w:t>
      </w:r>
      <w:r>
        <w:rPr>
          <w:rFonts w:ascii="仿宋_GB2312" w:eastAsia="仿宋_GB2312" w:hint="eastAsia"/>
          <w:sz w:val="32"/>
          <w:szCs w:val="32"/>
        </w:rPr>
        <w:t>或患者直接或间接接触的材料成分。明确产品所有部件组成材料的通用名称</w:t>
      </w:r>
      <w:r>
        <w:rPr>
          <w:rFonts w:ascii="仿宋_GB2312" w:eastAsia="仿宋_GB2312" w:hint="eastAsia"/>
          <w:sz w:val="32"/>
          <w:szCs w:val="32"/>
        </w:rPr>
        <w:t>/</w:t>
      </w:r>
      <w:r>
        <w:rPr>
          <w:rFonts w:ascii="仿宋_GB2312" w:eastAsia="仿宋_GB2312" w:hint="eastAsia"/>
          <w:sz w:val="32"/>
          <w:szCs w:val="32"/>
        </w:rPr>
        <w:t>化学名称、商品名</w:t>
      </w:r>
      <w:r>
        <w:rPr>
          <w:rFonts w:ascii="仿宋_GB2312" w:eastAsia="仿宋_GB2312" w:hint="eastAsia"/>
          <w:sz w:val="32"/>
          <w:szCs w:val="32"/>
        </w:rPr>
        <w:t>/</w:t>
      </w:r>
      <w:r>
        <w:rPr>
          <w:rFonts w:ascii="仿宋_GB2312" w:eastAsia="仿宋_GB2312" w:hint="eastAsia"/>
          <w:sz w:val="32"/>
          <w:szCs w:val="32"/>
        </w:rPr>
        <w:t>牌号、符合的材料标准（如适用）及材料供应商等基本信息，包括制造过程中使用的粘合剂（如适用）、着色剂等。建议产品组成材料以列表的形式提供，并与产品结构图示中标识的部件名称一一对应。</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型号规格</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对于存在多种型号、规格的产品，应当明确各型号、规格的区别。应当采用对比表及带有说明性文字的图片、图表，对于各种型号、规格的结构组成（或配置）、功能、产品特征和运行模式、性能指标等方面加以描述。</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lastRenderedPageBreak/>
        <w:t>5.</w:t>
      </w:r>
      <w:r>
        <w:rPr>
          <w:rFonts w:ascii="仿宋_GB2312" w:eastAsia="仿宋_GB2312" w:hint="eastAsia"/>
          <w:sz w:val="32"/>
          <w:szCs w:val="32"/>
        </w:rPr>
        <w:t>包装说明</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说明所有</w:t>
      </w:r>
      <w:r>
        <w:rPr>
          <w:rFonts w:ascii="仿宋_GB2312" w:eastAsia="仿宋_GB2312" w:hint="eastAsia"/>
          <w:sz w:val="32"/>
          <w:szCs w:val="32"/>
        </w:rPr>
        <w:t>产品组成的包装信息。对于无菌医疗器械，说明与灭菌方法相适应的无菌屏障系统信息；对于具有微生物限度要求的医疗器械，应当说明保持其微生物限度的包装信息。说明如何确保最终使用者可清晰地辨识包装的完整性。</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研发历程</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阐述申请注册产品的研发背景和目的。如有参考的同类产品或前代产品，应当提供同类产品或前代产品的信息，并说明选择其作为研发参考的原因。</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与同类和</w:t>
      </w:r>
      <w:r>
        <w:rPr>
          <w:rFonts w:ascii="仿宋_GB2312" w:eastAsia="仿宋_GB2312" w:hint="eastAsia"/>
          <w:sz w:val="32"/>
          <w:szCs w:val="32"/>
        </w:rPr>
        <w:t>/</w:t>
      </w:r>
      <w:r>
        <w:rPr>
          <w:rFonts w:ascii="仿宋_GB2312" w:eastAsia="仿宋_GB2312" w:hint="eastAsia"/>
          <w:sz w:val="32"/>
          <w:szCs w:val="32"/>
        </w:rPr>
        <w:t>或前代产品的参考和比较</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列表比较说明申报产品与同类和</w:t>
      </w:r>
      <w:r>
        <w:rPr>
          <w:rFonts w:ascii="仿宋_GB2312" w:eastAsia="仿宋_GB2312" w:hint="eastAsia"/>
          <w:sz w:val="32"/>
          <w:szCs w:val="32"/>
        </w:rPr>
        <w:t>/</w:t>
      </w:r>
      <w:r>
        <w:rPr>
          <w:rFonts w:ascii="仿宋_GB2312" w:eastAsia="仿宋_GB2312" w:hint="eastAsia"/>
          <w:sz w:val="32"/>
          <w:szCs w:val="32"/>
        </w:rPr>
        <w:t>或前代产品工作原理、结构组成、制造材料、性能指标、作用方式，以及适用范围等异同。</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适用范围和禁忌证</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）适用范围：供建立口咽</w:t>
      </w:r>
      <w:r>
        <w:rPr>
          <w:rFonts w:ascii="仿宋_GB2312" w:eastAsia="仿宋_GB2312" w:hint="eastAsia"/>
          <w:sz w:val="32"/>
          <w:szCs w:val="32"/>
        </w:rPr>
        <w:t>/</w:t>
      </w:r>
      <w:r>
        <w:rPr>
          <w:rFonts w:ascii="仿宋_GB2312" w:eastAsia="仿宋_GB2312" w:hint="eastAsia"/>
          <w:sz w:val="32"/>
          <w:szCs w:val="32"/>
        </w:rPr>
        <w:t>鼻咽通气道，防止舌后坠引起气道阻塞。适用范围可在参考《免于临床评价医疗器械目录》描述基础上，结合产品设计特点，进一步明确。</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禁忌证：明确预期使用环境、适用人群信息。说明该产品禁忌应用的疾病、部位、人群等。口咽通气道的禁忌证不限于咽喉水肿、气管内有异物、哮喘、咽反射亢进、呕吐频繁且量大、门牙具有折断或脱落风险、饱胃患者；鼻咽通气道的禁忌证不限于鼻气道阻塞、鼻骨骨折、明显鼻中隔偏移、凝血机制异常、脑脊液耳鼻漏、饱胃、颅脑损伤等。</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不良事件情况</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申请人应</w:t>
      </w:r>
      <w:r>
        <w:rPr>
          <w:rFonts w:ascii="仿宋_GB2312" w:eastAsia="仿宋_GB2312" w:hint="eastAsia"/>
          <w:sz w:val="32"/>
          <w:szCs w:val="32"/>
        </w:rPr>
        <w:t>跟踪整理产品的不良事件、召回、警戒等相关信息，</w:t>
      </w:r>
      <w:r>
        <w:rPr>
          <w:rFonts w:ascii="仿宋_GB2312" w:eastAsia="仿宋_GB2312" w:hint="eastAsia"/>
          <w:sz w:val="32"/>
          <w:szCs w:val="32"/>
        </w:rPr>
        <w:t xml:space="preserve"> </w:t>
      </w:r>
      <w:r>
        <w:rPr>
          <w:rFonts w:ascii="仿宋_GB2312" w:eastAsia="仿宋_GB2312" w:hint="eastAsia"/>
          <w:sz w:val="32"/>
          <w:szCs w:val="32"/>
        </w:rPr>
        <w:t>并将其作为风险管理的输入资料，进行风险评估和控</w:t>
      </w:r>
      <w:r>
        <w:rPr>
          <w:rFonts w:ascii="仿宋_GB2312" w:eastAsia="仿宋_GB2312" w:hint="eastAsia"/>
          <w:sz w:val="32"/>
          <w:szCs w:val="32"/>
        </w:rPr>
        <w:lastRenderedPageBreak/>
        <w:t>制。</w:t>
      </w:r>
    </w:p>
    <w:p w:rsidR="00E76BFD" w:rsidRDefault="00332560">
      <w:pPr>
        <w:spacing w:line="520" w:lineRule="exact"/>
        <w:ind w:rightChars="-32" w:right="-67" w:firstLineChars="200" w:firstLine="640"/>
        <w:rPr>
          <w:rFonts w:eastAsia="楷体_GB2312"/>
          <w:sz w:val="32"/>
          <w:szCs w:val="32"/>
        </w:rPr>
      </w:pPr>
      <w:r>
        <w:rPr>
          <w:rFonts w:eastAsia="楷体_GB2312"/>
          <w:sz w:val="32"/>
          <w:szCs w:val="32"/>
        </w:rPr>
        <w:t>（三）</w:t>
      </w:r>
      <w:r>
        <w:rPr>
          <w:rFonts w:eastAsia="楷体_GB2312" w:hint="eastAsia"/>
          <w:sz w:val="32"/>
          <w:szCs w:val="32"/>
        </w:rPr>
        <w:t>非临床资料</w:t>
      </w:r>
    </w:p>
    <w:p w:rsidR="00E76BFD" w:rsidRDefault="00332560">
      <w:pPr>
        <w:spacing w:line="520" w:lineRule="exact"/>
        <w:ind w:rightChars="-32" w:right="-67" w:firstLineChars="200" w:firstLine="640"/>
        <w:rPr>
          <w:rFonts w:eastAsia="楷体_GB2312"/>
          <w:sz w:val="32"/>
          <w:szCs w:val="32"/>
        </w:rPr>
      </w:pPr>
      <w:r>
        <w:rPr>
          <w:rFonts w:ascii="仿宋_GB2312" w:eastAsia="仿宋_GB2312" w:hAnsi="仿宋_GB2312" w:cs="仿宋_GB2312" w:hint="eastAsia"/>
          <w:color w:val="000000"/>
          <w:sz w:val="32"/>
          <w:szCs w:val="32"/>
        </w:rPr>
        <w:t>至少应包含如下内容：</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产品技术要求</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口咽通气道产品宜符合</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口咽通气道》等相关标准，鼻咽通气道产品可参考</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口咽通气道》，结合产品设计特征及临床应用来制订，同时还需符合《医疗器械产品技术要求编写指导原则》的要求。</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产品型号</w:t>
      </w:r>
      <w:r>
        <w:rPr>
          <w:rFonts w:ascii="仿宋_GB2312" w:eastAsia="仿宋_GB2312" w:hint="eastAsia"/>
          <w:sz w:val="32"/>
          <w:szCs w:val="32"/>
        </w:rPr>
        <w:t>/</w:t>
      </w:r>
      <w:r>
        <w:rPr>
          <w:rFonts w:ascii="仿宋_GB2312" w:eastAsia="仿宋_GB2312" w:hint="eastAsia"/>
          <w:sz w:val="32"/>
          <w:szCs w:val="32"/>
        </w:rPr>
        <w:t>规格及其划分说明</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明确产品型号</w:t>
      </w:r>
      <w:r>
        <w:rPr>
          <w:rFonts w:ascii="仿宋_GB2312" w:eastAsia="仿宋_GB2312" w:hint="eastAsia"/>
          <w:sz w:val="32"/>
          <w:szCs w:val="32"/>
        </w:rPr>
        <w:t>/</w:t>
      </w:r>
      <w:r>
        <w:rPr>
          <w:rFonts w:ascii="仿宋_GB2312" w:eastAsia="仿宋_GB2312" w:hint="eastAsia"/>
          <w:sz w:val="32"/>
          <w:szCs w:val="32"/>
        </w:rPr>
        <w:t>规格，阐明各型号</w:t>
      </w:r>
      <w:r>
        <w:rPr>
          <w:rFonts w:ascii="仿宋_GB2312" w:eastAsia="仿宋_GB2312" w:hint="eastAsia"/>
          <w:sz w:val="32"/>
          <w:szCs w:val="32"/>
        </w:rPr>
        <w:t>/</w:t>
      </w:r>
      <w:r>
        <w:rPr>
          <w:rFonts w:ascii="仿宋_GB2312" w:eastAsia="仿宋_GB2312" w:hint="eastAsia"/>
          <w:sz w:val="32"/>
          <w:szCs w:val="32"/>
        </w:rPr>
        <w:t>规格间的区别及划分说明，型号</w:t>
      </w:r>
      <w:r>
        <w:rPr>
          <w:rFonts w:ascii="仿宋_GB2312" w:eastAsia="仿宋_GB2312" w:hint="eastAsia"/>
          <w:sz w:val="32"/>
          <w:szCs w:val="32"/>
        </w:rPr>
        <w:t>/</w:t>
      </w:r>
      <w:r>
        <w:rPr>
          <w:rFonts w:ascii="仿宋_GB2312" w:eastAsia="仿宋_GB2312" w:hint="eastAsia"/>
          <w:sz w:val="32"/>
          <w:szCs w:val="32"/>
        </w:rPr>
        <w:t>规格的表述需与全部注册申报资料保持一致，并提供结构示意图（如图</w:t>
      </w:r>
      <w:r>
        <w:rPr>
          <w:rFonts w:ascii="仿宋_GB2312" w:eastAsia="仿宋_GB2312" w:hint="eastAsia"/>
          <w:sz w:val="32"/>
          <w:szCs w:val="32"/>
        </w:rPr>
        <w:t>3</w:t>
      </w:r>
      <w:r>
        <w:rPr>
          <w:rFonts w:ascii="仿宋_GB2312" w:eastAsia="仿宋_GB2312" w:hint="eastAsia"/>
          <w:sz w:val="32"/>
          <w:szCs w:val="32"/>
        </w:rPr>
        <w:t>、图</w:t>
      </w:r>
      <w:r>
        <w:rPr>
          <w:rFonts w:ascii="仿宋_GB2312" w:eastAsia="仿宋_GB2312" w:hint="eastAsia"/>
          <w:sz w:val="32"/>
          <w:szCs w:val="32"/>
        </w:rPr>
        <w:t>4</w:t>
      </w:r>
      <w:r>
        <w:rPr>
          <w:rFonts w:ascii="仿宋_GB2312" w:eastAsia="仿宋_GB2312" w:hint="eastAsia"/>
          <w:sz w:val="32"/>
          <w:szCs w:val="32"/>
        </w:rPr>
        <w:t>）。</w:t>
      </w: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332560">
      <w:pPr>
        <w:spacing w:line="520" w:lineRule="exact"/>
        <w:ind w:rightChars="-32" w:right="-67" w:firstLineChars="200" w:firstLine="420"/>
        <w:rPr>
          <w:rFonts w:ascii="仿宋_GB2312" w:eastAsia="仿宋_GB2312"/>
          <w:sz w:val="32"/>
          <w:szCs w:val="32"/>
        </w:rPr>
      </w:pPr>
      <w:r>
        <w:rPr>
          <w:noProof/>
        </w:rPr>
        <w:drawing>
          <wp:anchor distT="0" distB="0" distL="0" distR="0" simplePos="0" relativeHeight="251661312" behindDoc="0" locked="0" layoutInCell="1" allowOverlap="1">
            <wp:simplePos x="0" y="0"/>
            <wp:positionH relativeFrom="column">
              <wp:posOffset>266700</wp:posOffset>
            </wp:positionH>
            <wp:positionV relativeFrom="paragraph">
              <wp:posOffset>-2764790</wp:posOffset>
            </wp:positionV>
            <wp:extent cx="5459095" cy="3028315"/>
            <wp:effectExtent l="0" t="0" r="8255" b="635"/>
            <wp:wrapSquare wrapText="bothSides"/>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0">
                      <a:extLst>
                        <a:ext uri="{28A0092B-C50C-407E-A947-70E740481C1C}">
                          <a14:useLocalDpi xmlns:a14="http://schemas.microsoft.com/office/drawing/2010/main" val="0"/>
                        </a:ext>
                      </a:extLst>
                    </a:blip>
                    <a:srcRect b="7551"/>
                    <a:stretch>
                      <a:fillRect/>
                    </a:stretch>
                  </pic:blipFill>
                  <pic:spPr>
                    <a:xfrm>
                      <a:off x="0" y="0"/>
                      <a:ext cx="5459561" cy="3028643"/>
                    </a:xfrm>
                    <a:prstGeom prst="rect">
                      <a:avLst/>
                    </a:prstGeom>
                    <a:noFill/>
                    <a:ln>
                      <a:noFill/>
                    </a:ln>
                  </pic:spPr>
                </pic:pic>
              </a:graphicData>
            </a:graphic>
          </wp:anchor>
        </w:drawing>
      </w:r>
    </w:p>
    <w:p w:rsidR="00E76BFD" w:rsidRDefault="00332560">
      <w:pPr>
        <w:jc w:val="center"/>
        <w:rPr>
          <w:rFonts w:ascii="微软雅黑" w:eastAsia="微软雅黑" w:hAnsi="微软雅黑" w:cs="Times New Roman"/>
          <w:szCs w:val="21"/>
        </w:rPr>
      </w:pPr>
      <w:r>
        <w:rPr>
          <w:rFonts w:ascii="微软雅黑" w:eastAsia="微软雅黑" w:hAnsi="微软雅黑" w:cs="Times New Roman" w:hint="eastAsia"/>
          <w:szCs w:val="21"/>
        </w:rPr>
        <w:t>1</w:t>
      </w:r>
      <w:r>
        <w:rPr>
          <w:rFonts w:ascii="微软雅黑" w:eastAsia="微软雅黑" w:hAnsi="微软雅黑" w:cs="Times New Roman"/>
          <w:szCs w:val="21"/>
        </w:rPr>
        <w:t>-</w:t>
      </w:r>
      <w:r>
        <w:rPr>
          <w:rFonts w:ascii="微软雅黑" w:eastAsia="微软雅黑" w:hAnsi="微软雅黑" w:cs="Times New Roman"/>
          <w:szCs w:val="21"/>
        </w:rPr>
        <w:t>口颊部分</w:t>
      </w:r>
      <w:r>
        <w:rPr>
          <w:rFonts w:ascii="微软雅黑" w:eastAsia="微软雅黑" w:hAnsi="微软雅黑" w:cs="Times New Roman" w:hint="eastAsia"/>
          <w:szCs w:val="21"/>
        </w:rPr>
        <w:t>；</w:t>
      </w:r>
      <w:r>
        <w:rPr>
          <w:rFonts w:ascii="微软雅黑" w:eastAsia="微软雅黑" w:hAnsi="微软雅黑" w:cs="Times New Roman"/>
          <w:szCs w:val="21"/>
        </w:rPr>
        <w:t>2-</w:t>
      </w:r>
      <w:r>
        <w:rPr>
          <w:rFonts w:ascii="微软雅黑" w:eastAsia="微软雅黑" w:hAnsi="微软雅黑" w:cs="Times New Roman"/>
          <w:szCs w:val="21"/>
        </w:rPr>
        <w:t>咬口处牙垫；</w:t>
      </w:r>
      <w:r>
        <w:rPr>
          <w:rFonts w:ascii="微软雅黑" w:eastAsia="微软雅黑" w:hAnsi="微软雅黑" w:cs="Times New Roman"/>
          <w:szCs w:val="21"/>
        </w:rPr>
        <w:t>3-</w:t>
      </w:r>
      <w:r>
        <w:rPr>
          <w:rFonts w:ascii="微软雅黑" w:eastAsia="微软雅黑" w:hAnsi="微软雅黑" w:cs="Times New Roman" w:hint="eastAsia"/>
          <w:szCs w:val="21"/>
        </w:rPr>
        <w:t>翼缘端</w:t>
      </w:r>
      <w:r>
        <w:rPr>
          <w:rFonts w:ascii="微软雅黑" w:eastAsia="微软雅黑" w:hAnsi="微软雅黑" w:cs="Times New Roman"/>
          <w:szCs w:val="21"/>
        </w:rPr>
        <w:t>；</w:t>
      </w:r>
      <w:r>
        <w:rPr>
          <w:rFonts w:ascii="微软雅黑" w:eastAsia="微软雅黑" w:hAnsi="微软雅黑" w:cs="Times New Roman"/>
          <w:szCs w:val="21"/>
        </w:rPr>
        <w:t>4-</w:t>
      </w:r>
      <w:r>
        <w:rPr>
          <w:rFonts w:ascii="微软雅黑" w:eastAsia="微软雅黑" w:hAnsi="微软雅黑" w:cs="Times New Roman"/>
          <w:szCs w:val="21"/>
        </w:rPr>
        <w:t>通气道</w:t>
      </w:r>
    </w:p>
    <w:p w:rsidR="00E76BFD" w:rsidRDefault="00332560">
      <w:pPr>
        <w:spacing w:line="560" w:lineRule="exact"/>
        <w:ind w:firstLineChars="900" w:firstLine="2502"/>
        <w:rPr>
          <w:rFonts w:ascii="黑体" w:eastAsia="黑体" w:hAnsi="黑体" w:cs="黑体"/>
          <w:spacing w:val="-1"/>
          <w:sz w:val="28"/>
          <w:szCs w:val="28"/>
        </w:rPr>
      </w:pPr>
      <w:r>
        <w:rPr>
          <w:rFonts w:ascii="黑体" w:eastAsia="黑体" w:hAnsi="黑体" w:cs="黑体" w:hint="eastAsia"/>
          <w:spacing w:val="-1"/>
          <w:sz w:val="28"/>
          <w:szCs w:val="28"/>
        </w:rPr>
        <w:t>图</w:t>
      </w:r>
      <w:r>
        <w:rPr>
          <w:rFonts w:ascii="黑体" w:eastAsia="黑体" w:hAnsi="黑体" w:cs="黑体" w:hint="eastAsia"/>
          <w:spacing w:val="-1"/>
          <w:sz w:val="28"/>
          <w:szCs w:val="28"/>
        </w:rPr>
        <w:t xml:space="preserve">3 </w:t>
      </w:r>
      <w:r>
        <w:rPr>
          <w:rFonts w:ascii="黑体" w:eastAsia="黑体" w:hAnsi="黑体" w:cs="黑体" w:hint="eastAsia"/>
          <w:spacing w:val="-1"/>
          <w:sz w:val="28"/>
          <w:szCs w:val="28"/>
        </w:rPr>
        <w:t>口咽通气道结构示意图</w:t>
      </w: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60" w:lineRule="exact"/>
        <w:ind w:firstLineChars="900" w:firstLine="2502"/>
        <w:rPr>
          <w:rFonts w:ascii="黑体" w:eastAsia="黑体" w:hAnsi="黑体" w:cs="黑体"/>
          <w:spacing w:val="-1"/>
          <w:sz w:val="28"/>
          <w:szCs w:val="28"/>
        </w:rPr>
      </w:pPr>
    </w:p>
    <w:p w:rsidR="00E76BFD" w:rsidRDefault="00332560">
      <w:pPr>
        <w:spacing w:line="560" w:lineRule="exact"/>
        <w:ind w:firstLineChars="900" w:firstLine="1890"/>
        <w:rPr>
          <w:rFonts w:ascii="黑体" w:eastAsia="黑体" w:hAnsi="黑体" w:cs="黑体"/>
          <w:spacing w:val="-1"/>
          <w:sz w:val="28"/>
          <w:szCs w:val="28"/>
        </w:rPr>
      </w:pPr>
      <w:r>
        <w:rPr>
          <w:rFonts w:ascii="微软雅黑" w:eastAsia="微软雅黑" w:hAnsi="微软雅黑" w:cs="Times New Roman"/>
          <w:noProof/>
          <w:szCs w:val="21"/>
        </w:rPr>
        <w:drawing>
          <wp:anchor distT="0" distB="0" distL="0" distR="0" simplePos="0" relativeHeight="251662336" behindDoc="0" locked="0" layoutInCell="1" allowOverlap="1">
            <wp:simplePos x="0" y="0"/>
            <wp:positionH relativeFrom="column">
              <wp:posOffset>629920</wp:posOffset>
            </wp:positionH>
            <wp:positionV relativeFrom="paragraph">
              <wp:posOffset>-9525</wp:posOffset>
            </wp:positionV>
            <wp:extent cx="3683000" cy="2997835"/>
            <wp:effectExtent l="0" t="0" r="12700" b="12065"/>
            <wp:wrapSquare wrapText="bothSides"/>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683000" cy="2997835"/>
                    </a:xfrm>
                    <a:prstGeom prst="rect">
                      <a:avLst/>
                    </a:prstGeom>
                    <a:noFill/>
                    <a:ln>
                      <a:noFill/>
                    </a:ln>
                  </pic:spPr>
                </pic:pic>
              </a:graphicData>
            </a:graphic>
          </wp:anchor>
        </w:drawing>
      </w: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60" w:lineRule="exact"/>
        <w:ind w:firstLineChars="900" w:firstLine="2502"/>
        <w:rPr>
          <w:rFonts w:ascii="黑体" w:eastAsia="黑体" w:hAnsi="黑体" w:cs="黑体"/>
          <w:spacing w:val="-1"/>
          <w:sz w:val="28"/>
          <w:szCs w:val="28"/>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E76BFD">
      <w:pPr>
        <w:spacing w:line="520" w:lineRule="exact"/>
        <w:ind w:rightChars="-32" w:right="-67" w:firstLineChars="200" w:firstLine="640"/>
        <w:rPr>
          <w:rFonts w:ascii="仿宋_GB2312" w:eastAsia="仿宋_GB2312"/>
          <w:sz w:val="32"/>
          <w:szCs w:val="32"/>
        </w:rPr>
      </w:pPr>
    </w:p>
    <w:p w:rsidR="00E76BFD" w:rsidRDefault="00332560">
      <w:pPr>
        <w:jc w:val="center"/>
        <w:rPr>
          <w:rFonts w:ascii="微软雅黑" w:eastAsia="微软雅黑" w:hAnsi="微软雅黑" w:cs="Times New Roman"/>
          <w:szCs w:val="21"/>
        </w:rPr>
      </w:pPr>
      <w:r>
        <w:rPr>
          <w:rFonts w:ascii="微软雅黑" w:eastAsia="微软雅黑" w:hAnsi="微软雅黑" w:cs="Times New Roman" w:hint="eastAsia"/>
          <w:szCs w:val="21"/>
        </w:rPr>
        <w:t>1</w:t>
      </w:r>
      <w:r>
        <w:rPr>
          <w:rFonts w:ascii="微软雅黑" w:eastAsia="微软雅黑" w:hAnsi="微软雅黑" w:cs="Times New Roman"/>
          <w:szCs w:val="21"/>
        </w:rPr>
        <w:t>-</w:t>
      </w:r>
      <w:r>
        <w:rPr>
          <w:rFonts w:ascii="微软雅黑" w:eastAsia="微软雅黑" w:hAnsi="微软雅黑" w:cs="Times New Roman" w:hint="eastAsia"/>
          <w:szCs w:val="21"/>
        </w:rPr>
        <w:t>翼缘；</w:t>
      </w:r>
      <w:r>
        <w:rPr>
          <w:rFonts w:ascii="微软雅黑" w:eastAsia="微软雅黑" w:hAnsi="微软雅黑" w:cs="Times New Roman"/>
          <w:szCs w:val="21"/>
        </w:rPr>
        <w:t>2-</w:t>
      </w:r>
      <w:r>
        <w:rPr>
          <w:rFonts w:ascii="微软雅黑" w:eastAsia="微软雅黑" w:hAnsi="微软雅黑" w:cs="Times New Roman" w:hint="eastAsia"/>
          <w:szCs w:val="21"/>
        </w:rPr>
        <w:t>接头</w:t>
      </w:r>
      <w:r>
        <w:rPr>
          <w:rFonts w:ascii="微软雅黑" w:eastAsia="微软雅黑" w:hAnsi="微软雅黑" w:cs="Times New Roman"/>
          <w:szCs w:val="21"/>
        </w:rPr>
        <w:t>；</w:t>
      </w:r>
      <w:r>
        <w:rPr>
          <w:rFonts w:ascii="微软雅黑" w:eastAsia="微软雅黑" w:hAnsi="微软雅黑" w:cs="Times New Roman"/>
          <w:szCs w:val="21"/>
        </w:rPr>
        <w:t>3-</w:t>
      </w:r>
      <w:r>
        <w:rPr>
          <w:rFonts w:ascii="微软雅黑" w:eastAsia="微软雅黑" w:hAnsi="微软雅黑" w:cs="Times New Roman" w:hint="eastAsia"/>
          <w:szCs w:val="21"/>
        </w:rPr>
        <w:t>弹簧</w:t>
      </w:r>
      <w:r>
        <w:rPr>
          <w:rFonts w:ascii="微软雅黑" w:eastAsia="微软雅黑" w:hAnsi="微软雅黑" w:cs="Times New Roman"/>
          <w:szCs w:val="21"/>
        </w:rPr>
        <w:t>；</w:t>
      </w:r>
      <w:r>
        <w:rPr>
          <w:rFonts w:ascii="微软雅黑" w:eastAsia="微软雅黑" w:hAnsi="微软雅黑" w:cs="Times New Roman"/>
          <w:szCs w:val="21"/>
        </w:rPr>
        <w:t>4-</w:t>
      </w:r>
      <w:r>
        <w:rPr>
          <w:rFonts w:ascii="微软雅黑" w:eastAsia="微软雅黑" w:hAnsi="微软雅黑" w:cs="Times New Roman"/>
          <w:szCs w:val="21"/>
        </w:rPr>
        <w:t>通气道</w:t>
      </w:r>
    </w:p>
    <w:p w:rsidR="00E76BFD" w:rsidRDefault="00332560">
      <w:pPr>
        <w:spacing w:line="560" w:lineRule="exact"/>
        <w:ind w:firstLineChars="900" w:firstLine="2502"/>
        <w:rPr>
          <w:rFonts w:ascii="黑体" w:eastAsia="黑体" w:hAnsi="黑体" w:cs="黑体"/>
          <w:spacing w:val="-1"/>
          <w:sz w:val="28"/>
          <w:szCs w:val="28"/>
        </w:rPr>
      </w:pPr>
      <w:r>
        <w:rPr>
          <w:rFonts w:ascii="黑体" w:eastAsia="黑体" w:hAnsi="黑体" w:cs="黑体" w:hint="eastAsia"/>
          <w:spacing w:val="-1"/>
          <w:sz w:val="28"/>
          <w:szCs w:val="28"/>
        </w:rPr>
        <w:t>图</w:t>
      </w:r>
      <w:r>
        <w:rPr>
          <w:rFonts w:ascii="黑体" w:eastAsia="黑体" w:hAnsi="黑体" w:cs="黑体" w:hint="eastAsia"/>
          <w:spacing w:val="-1"/>
          <w:sz w:val="28"/>
          <w:szCs w:val="28"/>
        </w:rPr>
        <w:t xml:space="preserve">4 </w:t>
      </w:r>
      <w:r>
        <w:rPr>
          <w:rFonts w:ascii="黑体" w:eastAsia="黑体" w:hAnsi="黑体" w:cs="黑体" w:hint="eastAsia"/>
          <w:spacing w:val="-1"/>
          <w:sz w:val="28"/>
          <w:szCs w:val="28"/>
        </w:rPr>
        <w:t>鼻咽通气道结构示意图</w:t>
      </w:r>
    </w:p>
    <w:p w:rsidR="00E76BFD" w:rsidRDefault="00E76BFD">
      <w:pPr>
        <w:spacing w:line="560" w:lineRule="exact"/>
        <w:ind w:firstLineChars="900" w:firstLine="2502"/>
        <w:rPr>
          <w:rFonts w:ascii="黑体" w:eastAsia="黑体" w:hAnsi="黑体" w:cs="黑体"/>
          <w:spacing w:val="-1"/>
          <w:sz w:val="28"/>
          <w:szCs w:val="28"/>
        </w:rPr>
      </w:pP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1.2</w:t>
      </w:r>
      <w:r>
        <w:rPr>
          <w:rFonts w:ascii="仿宋_GB2312" w:eastAsia="仿宋_GB2312" w:hint="eastAsia"/>
          <w:sz w:val="32"/>
          <w:szCs w:val="32"/>
        </w:rPr>
        <w:t>性能指标</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口咽通气道产品性能指标至少应包含外观、设计、尺寸（长度、内径）、规格标识、颜色编码（如适用）、抗扁瘪、内腔畅通性、微生物限度（如适用）、无菌、化学性能（重金属、酸碱度等）、环氧乙烷残留量（如适用）等。</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鼻咽通气道产品性能指标至少应包含外观、设计、尺寸（长度、内径）、规格标识、接头要求（如适用）、颜色编码（如适用）、内腔畅通性、抗扁瘪（如预期连接负压设备）、</w:t>
      </w:r>
      <w:r>
        <w:rPr>
          <w:rFonts w:ascii="仿宋_GB2312" w:eastAsia="仿宋_GB2312" w:hint="eastAsia"/>
          <w:sz w:val="32"/>
          <w:szCs w:val="32"/>
        </w:rPr>
        <w:t>X</w:t>
      </w:r>
      <w:r>
        <w:rPr>
          <w:rFonts w:ascii="仿宋_GB2312" w:eastAsia="仿宋_GB2312" w:hint="eastAsia"/>
          <w:sz w:val="32"/>
          <w:szCs w:val="32"/>
        </w:rPr>
        <w:t>射线不透性（如适用）、微生物限度（如适用）、无菌、化学性能（重金属、酸碱度等）、环氧乙烷残留量（如适用）等。</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1.3</w:t>
      </w:r>
      <w:r>
        <w:rPr>
          <w:rFonts w:ascii="仿宋_GB2312" w:eastAsia="仿宋_GB2312" w:hint="eastAsia"/>
          <w:sz w:val="32"/>
          <w:szCs w:val="32"/>
        </w:rPr>
        <w:t>检验方法</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产品的检验方法需优先采用国</w:t>
      </w:r>
      <w:r>
        <w:rPr>
          <w:rFonts w:ascii="仿宋_GB2312" w:eastAsia="仿宋_GB2312" w:hint="eastAsia"/>
          <w:sz w:val="32"/>
          <w:szCs w:val="32"/>
        </w:rPr>
        <w:t>家标准</w:t>
      </w:r>
      <w:r>
        <w:rPr>
          <w:rFonts w:ascii="仿宋_GB2312" w:eastAsia="仿宋_GB2312" w:hint="eastAsia"/>
          <w:sz w:val="32"/>
          <w:szCs w:val="32"/>
        </w:rPr>
        <w:t>/</w:t>
      </w:r>
      <w:r>
        <w:rPr>
          <w:rFonts w:ascii="仿宋_GB2312" w:eastAsia="仿宋_GB2312" w:hint="eastAsia"/>
          <w:sz w:val="32"/>
          <w:szCs w:val="32"/>
        </w:rPr>
        <w:t>行业标准中的方</w:t>
      </w:r>
      <w:r>
        <w:rPr>
          <w:rFonts w:ascii="仿宋_GB2312" w:eastAsia="仿宋_GB2312" w:hint="eastAsia"/>
          <w:sz w:val="32"/>
          <w:szCs w:val="32"/>
        </w:rPr>
        <w:lastRenderedPageBreak/>
        <w:t>法。对于相关国家标准</w:t>
      </w:r>
      <w:r>
        <w:rPr>
          <w:rFonts w:ascii="仿宋_GB2312" w:eastAsia="仿宋_GB2312" w:hint="eastAsia"/>
          <w:sz w:val="32"/>
          <w:szCs w:val="32"/>
        </w:rPr>
        <w:t>/</w:t>
      </w:r>
      <w:r>
        <w:rPr>
          <w:rFonts w:ascii="仿宋_GB2312" w:eastAsia="仿宋_GB2312" w:hint="eastAsia"/>
          <w:sz w:val="32"/>
          <w:szCs w:val="32"/>
        </w:rPr>
        <w:t>行业标准中不适用的条款，需说明不适用的原因。所有引用的标准注明其编号、年号或版本号。自建检验方法应具有可操作性和可重现性，必要时可以附录形式采用相应图示进行说明，文本较大的可以附录形式提供。</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产品检验报告</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提供检验样品型号</w:t>
      </w:r>
      <w:r>
        <w:rPr>
          <w:rFonts w:ascii="仿宋_GB2312" w:eastAsia="仿宋_GB2312" w:hint="eastAsia"/>
          <w:sz w:val="32"/>
          <w:szCs w:val="32"/>
        </w:rPr>
        <w:t>/</w:t>
      </w:r>
      <w:r>
        <w:rPr>
          <w:rFonts w:ascii="仿宋_GB2312" w:eastAsia="仿宋_GB2312" w:hint="eastAsia"/>
          <w:sz w:val="32"/>
          <w:szCs w:val="32"/>
        </w:rPr>
        <w:t>规格的选择依据。所检验型号</w:t>
      </w:r>
      <w:r>
        <w:rPr>
          <w:rFonts w:ascii="仿宋_GB2312" w:eastAsia="仿宋_GB2312" w:hint="eastAsia"/>
          <w:sz w:val="32"/>
          <w:szCs w:val="32"/>
        </w:rPr>
        <w:t>/</w:t>
      </w:r>
      <w:r>
        <w:rPr>
          <w:rFonts w:ascii="仿宋_GB2312" w:eastAsia="仿宋_GB2312" w:hint="eastAsia"/>
          <w:sz w:val="32"/>
          <w:szCs w:val="32"/>
        </w:rPr>
        <w:t>规格需为能够代表本注册单元内其他型号</w:t>
      </w:r>
      <w:r>
        <w:rPr>
          <w:rFonts w:ascii="仿宋_GB2312" w:eastAsia="仿宋_GB2312" w:hint="eastAsia"/>
          <w:sz w:val="32"/>
          <w:szCs w:val="32"/>
        </w:rPr>
        <w:t>/</w:t>
      </w:r>
      <w:r>
        <w:rPr>
          <w:rFonts w:ascii="仿宋_GB2312" w:eastAsia="仿宋_GB2312" w:hint="eastAsia"/>
          <w:sz w:val="32"/>
          <w:szCs w:val="32"/>
        </w:rPr>
        <w:t>规格的典型产品。如申报产品包含多个规格，应选择最小号作为典型产品。当申报产品包括多个型号规格，需综合考虑口咽</w:t>
      </w:r>
      <w:r>
        <w:rPr>
          <w:rFonts w:ascii="仿宋_GB2312" w:eastAsia="仿宋_GB2312" w:hint="eastAsia"/>
          <w:sz w:val="32"/>
          <w:szCs w:val="32"/>
        </w:rPr>
        <w:t>/</w:t>
      </w:r>
      <w:r>
        <w:rPr>
          <w:rFonts w:ascii="仿宋_GB2312" w:eastAsia="仿宋_GB2312" w:hint="eastAsia"/>
          <w:sz w:val="32"/>
          <w:szCs w:val="32"/>
        </w:rPr>
        <w:t>鼻咽通气道的结构组成、包装方式、生产工艺和预期用途等影响因素。一</w:t>
      </w:r>
      <w:r>
        <w:rPr>
          <w:rFonts w:ascii="仿宋_GB2312" w:eastAsia="仿宋_GB2312" w:hint="eastAsia"/>
          <w:sz w:val="32"/>
          <w:szCs w:val="32"/>
        </w:rPr>
        <w:t>个型号不能完全覆盖时，应选择其他型号进行相关性能的差异性检测。应关注典型型号</w:t>
      </w:r>
      <w:r>
        <w:rPr>
          <w:rFonts w:ascii="仿宋_GB2312" w:eastAsia="仿宋_GB2312" w:hint="eastAsia"/>
          <w:sz w:val="32"/>
          <w:szCs w:val="32"/>
        </w:rPr>
        <w:t>/</w:t>
      </w:r>
      <w:r>
        <w:rPr>
          <w:rFonts w:ascii="仿宋_GB2312" w:eastAsia="仿宋_GB2312" w:hint="eastAsia"/>
          <w:sz w:val="32"/>
          <w:szCs w:val="32"/>
        </w:rPr>
        <w:t>规格不一定是临床常用型号</w:t>
      </w:r>
      <w:r>
        <w:rPr>
          <w:rFonts w:ascii="仿宋_GB2312" w:eastAsia="仿宋_GB2312" w:hint="eastAsia"/>
          <w:sz w:val="32"/>
          <w:szCs w:val="32"/>
        </w:rPr>
        <w:t>/</w:t>
      </w:r>
      <w:r>
        <w:rPr>
          <w:rFonts w:ascii="仿宋_GB2312" w:eastAsia="仿宋_GB2312" w:hint="eastAsia"/>
          <w:sz w:val="32"/>
          <w:szCs w:val="32"/>
        </w:rPr>
        <w:t>规格。</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产品化学和物理性能研究</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3.1</w:t>
      </w:r>
      <w:r>
        <w:rPr>
          <w:rFonts w:ascii="仿宋_GB2312" w:eastAsia="仿宋_GB2312" w:hint="eastAsia"/>
          <w:sz w:val="32"/>
          <w:szCs w:val="32"/>
        </w:rPr>
        <w:t>说明产品技术要求中性能指标及检验方法的确定依据，需提供采用的原因及理论基础。依据产品性能研究结果，结合临床需求制定性能指标接受标准。对于自建方法，需提供相应的依据及方法学研究资料。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3.2</w:t>
      </w:r>
      <w:r>
        <w:rPr>
          <w:rFonts w:ascii="仿宋_GB2312" w:eastAsia="仿宋_GB2312" w:hint="eastAsia"/>
          <w:sz w:val="32"/>
          <w:szCs w:val="32"/>
        </w:rPr>
        <w:t>提供申报产品的性能研究资料。</w:t>
      </w:r>
      <w:r>
        <w:rPr>
          <w:rFonts w:ascii="仿宋_GB2312" w:eastAsia="仿宋_GB2312" w:hint="eastAsia"/>
          <w:sz w:val="32"/>
          <w:szCs w:val="32"/>
        </w:rPr>
        <w:t>可选择典型型号</w:t>
      </w:r>
      <w:r>
        <w:rPr>
          <w:rFonts w:ascii="仿宋_GB2312" w:eastAsia="仿宋_GB2312" w:hint="eastAsia"/>
          <w:sz w:val="32"/>
          <w:szCs w:val="32"/>
        </w:rPr>
        <w:t>/</w:t>
      </w:r>
      <w:r>
        <w:rPr>
          <w:rFonts w:ascii="仿宋_GB2312" w:eastAsia="仿宋_GB2312" w:hint="eastAsia"/>
          <w:sz w:val="32"/>
          <w:szCs w:val="32"/>
        </w:rPr>
        <w:t>规格进行</w:t>
      </w:r>
      <w:r>
        <w:rPr>
          <w:rFonts w:ascii="仿宋_GB2312" w:eastAsia="仿宋_GB2312"/>
          <w:sz w:val="32"/>
          <w:szCs w:val="32"/>
        </w:rPr>
        <w:t>性能研究</w:t>
      </w:r>
      <w:r>
        <w:rPr>
          <w:rFonts w:ascii="仿宋_GB2312" w:eastAsia="仿宋_GB2312" w:hint="eastAsia"/>
          <w:sz w:val="32"/>
          <w:szCs w:val="32"/>
        </w:rPr>
        <w:t>并提供合理性</w:t>
      </w:r>
      <w:r>
        <w:rPr>
          <w:rFonts w:ascii="仿宋_GB2312" w:eastAsia="仿宋_GB2312"/>
          <w:sz w:val="32"/>
          <w:szCs w:val="32"/>
        </w:rPr>
        <w:t>说明</w:t>
      </w:r>
      <w:r>
        <w:rPr>
          <w:rFonts w:ascii="仿宋_GB2312" w:eastAsia="仿宋_GB2312" w:hint="eastAsia"/>
          <w:sz w:val="32"/>
          <w:szCs w:val="32"/>
        </w:rPr>
        <w:t>，确定研究项目所用样本数量应考虑统计学和产品风险等因素，并对验证结果进行统计学分析。</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产品性能指标可参考</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w:t>
      </w:r>
      <w:r>
        <w:rPr>
          <w:rFonts w:ascii="仿宋_GB2312" w:eastAsia="仿宋_GB2312" w:hint="eastAsia"/>
          <w:sz w:val="32"/>
          <w:szCs w:val="32"/>
        </w:rPr>
        <w:t>YY/T 1040.1</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圆锥接头</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部分：锥头与锥套》标准制定，性能研究项目包括但不限于</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口咽通气道》标准所列项目。如有不适用条款，申请人需在申报资料中说明理由。如产品有特定</w:t>
      </w:r>
      <w:r>
        <w:rPr>
          <w:rFonts w:ascii="仿宋_GB2312" w:eastAsia="仿宋_GB2312" w:hint="eastAsia"/>
          <w:sz w:val="32"/>
          <w:szCs w:val="32"/>
        </w:rPr>
        <w:lastRenderedPageBreak/>
        <w:t>设计，申请人还需根据产品设计特征设定相应的性能指标，并将其列入产品技术要求。若有随口咽</w:t>
      </w:r>
      <w:r>
        <w:rPr>
          <w:rFonts w:ascii="仿宋_GB2312" w:eastAsia="仿宋_GB2312" w:hint="eastAsia"/>
          <w:sz w:val="32"/>
          <w:szCs w:val="32"/>
        </w:rPr>
        <w:t>/</w:t>
      </w:r>
      <w:r>
        <w:rPr>
          <w:rFonts w:ascii="仿宋_GB2312" w:eastAsia="仿宋_GB2312" w:hint="eastAsia"/>
          <w:sz w:val="32"/>
          <w:szCs w:val="32"/>
        </w:rPr>
        <w:t>鼻咽通气道一起申报的附件，无论附件是否已取得医疗器械注册证，均需将附件的性能指标制定在产品技术要求中。对于可进行客观判定的成品定性</w:t>
      </w:r>
      <w:r>
        <w:rPr>
          <w:rFonts w:ascii="仿宋_GB2312" w:eastAsia="仿宋_GB2312" w:hint="eastAsia"/>
          <w:sz w:val="32"/>
          <w:szCs w:val="32"/>
        </w:rPr>
        <w:t>或定量的功能性、安全性指标，需将其列入产品技术要求。</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生物学特性研究</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终产品中预期与人体直接或间接接触的部分，均需要进行生物相容性评价。</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按照</w:t>
      </w:r>
      <w:r>
        <w:rPr>
          <w:rFonts w:ascii="仿宋_GB2312" w:eastAsia="仿宋_GB2312" w:hint="eastAsia"/>
          <w:sz w:val="32"/>
          <w:szCs w:val="32"/>
        </w:rPr>
        <w:t xml:space="preserve"> GB/T 16886</w:t>
      </w:r>
      <w:r>
        <w:rPr>
          <w:rFonts w:ascii="仿宋_GB2312" w:eastAsia="仿宋_GB2312" w:hint="eastAsia"/>
          <w:sz w:val="32"/>
          <w:szCs w:val="32"/>
        </w:rPr>
        <w:t>《医疗器械生物学评价》系列标准、《医疗器械生物学评价和审查指南》要求开展生物相容性评价，资料应当包括：</w:t>
      </w:r>
      <w:r>
        <w:rPr>
          <w:rFonts w:ascii="仿宋_GB2312" w:eastAsia="仿宋_GB2312" w:hint="eastAsia"/>
          <w:sz w:val="32"/>
          <w:szCs w:val="32"/>
        </w:rPr>
        <w:t xml:space="preserve"> </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）描述产品所用材料及与人体接触性质，设计和生产过程中可能引入的污染物和残留物，设计和生产过程中可能产生的析出物（包括可沥滤物和</w:t>
      </w:r>
      <w:r>
        <w:rPr>
          <w:rFonts w:ascii="仿宋_GB2312" w:eastAsia="仿宋_GB2312" w:hint="eastAsia"/>
          <w:sz w:val="32"/>
          <w:szCs w:val="32"/>
        </w:rPr>
        <w:t>/</w:t>
      </w:r>
      <w:r>
        <w:rPr>
          <w:rFonts w:ascii="仿宋_GB2312" w:eastAsia="仿宋_GB2312" w:hint="eastAsia"/>
          <w:sz w:val="32"/>
          <w:szCs w:val="32"/>
        </w:rPr>
        <w:t>或蒸发物）、加工残留物，与医疗器械直接接触的包装材料等相关信息。</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）描述申报产品的物理和</w:t>
      </w:r>
      <w:r>
        <w:rPr>
          <w:rFonts w:ascii="仿宋_GB2312" w:eastAsia="仿宋_GB2312" w:hint="eastAsia"/>
          <w:sz w:val="32"/>
          <w:szCs w:val="32"/>
        </w:rPr>
        <w:t>/</w:t>
      </w:r>
      <w:r>
        <w:rPr>
          <w:rFonts w:ascii="仿宋_GB2312" w:eastAsia="仿宋_GB2312" w:hint="eastAsia"/>
          <w:sz w:val="32"/>
          <w:szCs w:val="32"/>
        </w:rPr>
        <w:t>或化学信息并</w:t>
      </w:r>
      <w:r>
        <w:rPr>
          <w:rFonts w:ascii="仿宋_GB2312" w:eastAsia="仿宋_GB2312" w:hint="eastAsia"/>
          <w:sz w:val="32"/>
          <w:szCs w:val="32"/>
        </w:rPr>
        <w:t>考虑材料表征（如适用），如器械的物理作用可能产生生物学风险，应当进行评价。</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）生物学评价的策略、依据和方法。</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）已有数据和结果的评价。</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）选择或豁免生物学试验的理由和论证。</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）完成生物学评价所需的其他数据。</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本指导原则中的口咽</w:t>
      </w:r>
      <w:r>
        <w:rPr>
          <w:rFonts w:ascii="仿宋_GB2312" w:eastAsia="仿宋_GB2312" w:hint="eastAsia"/>
          <w:sz w:val="32"/>
          <w:szCs w:val="32"/>
        </w:rPr>
        <w:t>/</w:t>
      </w:r>
      <w:r>
        <w:rPr>
          <w:rFonts w:ascii="仿宋_GB2312" w:eastAsia="仿宋_GB2312" w:hint="eastAsia"/>
          <w:sz w:val="32"/>
          <w:szCs w:val="32"/>
        </w:rPr>
        <w:t>鼻咽通气道属于与粘膜短期接触的表面接触器械，若开展生物学评价试验，</w:t>
      </w:r>
      <w:r>
        <w:rPr>
          <w:rFonts w:ascii="仿宋_GB2312" w:eastAsia="仿宋_GB2312" w:hint="eastAsia"/>
          <w:sz w:val="32"/>
          <w:szCs w:val="32"/>
        </w:rPr>
        <w:t>至少应包括细胞毒性、致敏、刺激或</w:t>
      </w:r>
      <w:r>
        <w:rPr>
          <w:rFonts w:ascii="仿宋_GB2312" w:eastAsia="仿宋_GB2312"/>
          <w:sz w:val="32"/>
          <w:szCs w:val="32"/>
        </w:rPr>
        <w:t>皮内</w:t>
      </w:r>
      <w:r>
        <w:rPr>
          <w:rFonts w:ascii="仿宋_GB2312" w:eastAsia="仿宋_GB2312" w:hint="eastAsia"/>
          <w:sz w:val="32"/>
          <w:szCs w:val="32"/>
        </w:rPr>
        <w:t>反应。</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lastRenderedPageBreak/>
        <w:t>若开展申报产品与与市售产品的等同性比较的生物相容性评价，应按照《医疗器械生物学评价和审查指南》要求进行评价，应提供资料证明申报产品与已上市产品具有等同性，至少应详细说明申报产品与同类产品的原材料及其来源、生产过程（加工过程、灭菌过程、包装等）、适用范围、与人体接触的性质和用途等方面的异同，并提供相应的证据。</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灭菌工艺研究</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参照</w:t>
      </w:r>
      <w:r>
        <w:rPr>
          <w:rFonts w:ascii="仿宋_GB2312" w:eastAsia="仿宋_GB2312" w:hint="eastAsia"/>
          <w:sz w:val="32"/>
          <w:szCs w:val="32"/>
        </w:rPr>
        <w:t xml:space="preserve"> GB 18279.1</w:t>
      </w:r>
      <w:r>
        <w:rPr>
          <w:rFonts w:ascii="仿宋_GB2312" w:eastAsia="仿宋_GB2312" w:hint="eastAsia"/>
          <w:sz w:val="32"/>
          <w:szCs w:val="32"/>
        </w:rPr>
        <w:t>、</w:t>
      </w:r>
      <w:r>
        <w:rPr>
          <w:rFonts w:ascii="仿宋_GB2312" w:eastAsia="仿宋_GB2312" w:hint="eastAsia"/>
          <w:sz w:val="32"/>
          <w:szCs w:val="32"/>
        </w:rPr>
        <w:t>GB 18280</w:t>
      </w:r>
      <w:r>
        <w:rPr>
          <w:rFonts w:ascii="仿宋_GB2312" w:eastAsia="仿宋_GB2312" w:hint="eastAsia"/>
          <w:sz w:val="32"/>
          <w:szCs w:val="32"/>
        </w:rPr>
        <w:t>系列和</w:t>
      </w:r>
      <w:r>
        <w:rPr>
          <w:rFonts w:ascii="仿宋_GB2312" w:eastAsia="仿宋_GB2312" w:hint="eastAsia"/>
          <w:sz w:val="32"/>
          <w:szCs w:val="32"/>
        </w:rPr>
        <w:t>GB/T 16886.7</w:t>
      </w:r>
      <w:r>
        <w:rPr>
          <w:rFonts w:ascii="仿宋_GB2312" w:eastAsia="仿宋_GB2312" w:hint="eastAsia"/>
          <w:sz w:val="32"/>
          <w:szCs w:val="32"/>
        </w:rPr>
        <w:t>等标准的要求，提交产品包装及灭菌方法选择的依据，经过确认并进行常规控制，并应开展以下方面的确认：</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5.1</w:t>
      </w:r>
      <w:r>
        <w:rPr>
          <w:rFonts w:ascii="仿宋_GB2312" w:eastAsia="仿宋_GB2312" w:hint="eastAsia"/>
          <w:sz w:val="32"/>
          <w:szCs w:val="32"/>
        </w:rPr>
        <w:t>产品与</w:t>
      </w:r>
      <w:r>
        <w:rPr>
          <w:rFonts w:ascii="仿宋_GB2312" w:eastAsia="仿宋_GB2312" w:hint="eastAsia"/>
          <w:sz w:val="32"/>
          <w:szCs w:val="32"/>
        </w:rPr>
        <w:t>灭菌过程的适应性：应考察灭菌方式、灭菌工艺过程对于口咽</w:t>
      </w:r>
      <w:r>
        <w:rPr>
          <w:rFonts w:ascii="仿宋_GB2312" w:eastAsia="仿宋_GB2312" w:hint="eastAsia"/>
          <w:sz w:val="32"/>
          <w:szCs w:val="32"/>
        </w:rPr>
        <w:t>/</w:t>
      </w:r>
      <w:r>
        <w:rPr>
          <w:rFonts w:ascii="仿宋_GB2312" w:eastAsia="仿宋_GB2312" w:hint="eastAsia"/>
          <w:sz w:val="32"/>
          <w:szCs w:val="32"/>
        </w:rPr>
        <w:t>鼻咽通气道产品的影响。</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5.2</w:t>
      </w:r>
      <w:r>
        <w:rPr>
          <w:rFonts w:ascii="仿宋_GB2312" w:eastAsia="仿宋_GB2312" w:hint="eastAsia"/>
          <w:sz w:val="32"/>
          <w:szCs w:val="32"/>
        </w:rPr>
        <w:t>包装与灭菌过程的适应性。</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5.3</w:t>
      </w:r>
      <w:r>
        <w:rPr>
          <w:rFonts w:ascii="仿宋_GB2312" w:eastAsia="仿宋_GB2312" w:hint="eastAsia"/>
          <w:sz w:val="32"/>
          <w:szCs w:val="32"/>
        </w:rPr>
        <w:t>应明确灭菌工艺（方法和参数）和无菌保证水平（</w:t>
      </w:r>
      <w:r>
        <w:rPr>
          <w:rFonts w:ascii="仿宋_GB2312" w:eastAsia="仿宋_GB2312" w:hint="eastAsia"/>
          <w:sz w:val="32"/>
          <w:szCs w:val="32"/>
        </w:rPr>
        <w:t>SAL</w:t>
      </w:r>
      <w:r>
        <w:rPr>
          <w:rFonts w:ascii="仿宋_GB2312" w:eastAsia="仿宋_GB2312" w:hint="eastAsia"/>
          <w:sz w:val="32"/>
          <w:szCs w:val="32"/>
        </w:rPr>
        <w:t>），并提供灭菌确认报告。无菌保证水平（</w:t>
      </w:r>
      <w:r>
        <w:rPr>
          <w:rFonts w:ascii="仿宋_GB2312" w:eastAsia="仿宋_GB2312" w:hint="eastAsia"/>
          <w:sz w:val="32"/>
          <w:szCs w:val="32"/>
        </w:rPr>
        <w:t>SAL</w:t>
      </w:r>
      <w:r>
        <w:rPr>
          <w:rFonts w:ascii="仿宋_GB2312" w:eastAsia="仿宋_GB2312" w:hint="eastAsia"/>
          <w:sz w:val="32"/>
          <w:szCs w:val="32"/>
        </w:rPr>
        <w:t>）应达到</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10</w:t>
      </w:r>
      <w:r>
        <w:rPr>
          <w:rFonts w:ascii="仿宋_GB2312" w:eastAsia="仿宋_GB2312" w:hint="eastAsia"/>
          <w:sz w:val="32"/>
          <w:szCs w:val="32"/>
          <w:vertAlign w:val="superscript"/>
        </w:rPr>
        <w:t>-6</w:t>
      </w:r>
      <w:r>
        <w:rPr>
          <w:rFonts w:ascii="仿宋_GB2312" w:eastAsia="仿宋_GB2312" w:hint="eastAsia"/>
          <w:sz w:val="32"/>
          <w:szCs w:val="32"/>
        </w:rPr>
        <w:t>。</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5.4</w:t>
      </w:r>
      <w:r>
        <w:rPr>
          <w:rFonts w:ascii="仿宋_GB2312" w:eastAsia="仿宋_GB2312" w:hint="eastAsia"/>
          <w:sz w:val="32"/>
          <w:szCs w:val="32"/>
        </w:rPr>
        <w:t>残留毒性：若灭菌使用的方法容易出现残留，如环氧乙烷灭菌，应当明确残留物信息及采取的处理方法，并提供环氧乙烷解析的研究资料。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产品货架有效期和包装研究</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申请人可参考</w:t>
      </w:r>
      <w:r>
        <w:rPr>
          <w:rFonts w:ascii="仿宋_GB2312" w:eastAsia="仿宋_GB2312" w:hint="eastAsia"/>
          <w:sz w:val="32"/>
          <w:szCs w:val="32"/>
        </w:rPr>
        <w:t>YY/T 0681.1</w:t>
      </w:r>
      <w:r>
        <w:rPr>
          <w:rFonts w:ascii="仿宋_GB2312" w:eastAsia="仿宋_GB2312" w:hint="eastAsia"/>
          <w:sz w:val="32"/>
          <w:szCs w:val="32"/>
        </w:rPr>
        <w:t>《无菌医疗器械包装试验方法</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部分：加速老化试验指南》和</w:t>
      </w:r>
      <w:r>
        <w:rPr>
          <w:rFonts w:ascii="仿宋_GB2312" w:eastAsia="仿宋_GB2312" w:hint="eastAsia"/>
          <w:sz w:val="32"/>
          <w:szCs w:val="32"/>
        </w:rPr>
        <w:t>GB/T 19633</w:t>
      </w:r>
      <w:r>
        <w:rPr>
          <w:rFonts w:ascii="仿宋_GB2312" w:eastAsia="仿宋_GB2312" w:hint="eastAsia"/>
          <w:sz w:val="32"/>
          <w:szCs w:val="32"/>
        </w:rPr>
        <w:t>《最</w:t>
      </w:r>
      <w:r>
        <w:rPr>
          <w:rFonts w:ascii="仿宋_GB2312" w:eastAsia="仿宋_GB2312" w:hint="eastAsia"/>
          <w:sz w:val="32"/>
          <w:szCs w:val="32"/>
        </w:rPr>
        <w:t>终灭菌医疗器械包装》系列标准提供产品的稳定性研究资料。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7.</w:t>
      </w:r>
      <w:r>
        <w:rPr>
          <w:rFonts w:ascii="仿宋_GB2312" w:eastAsia="仿宋_GB2312" w:hint="eastAsia"/>
          <w:sz w:val="32"/>
          <w:szCs w:val="32"/>
        </w:rPr>
        <w:t>其他</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口咽</w:t>
      </w:r>
      <w:r>
        <w:rPr>
          <w:rFonts w:ascii="仿宋_GB2312" w:eastAsia="仿宋_GB2312" w:hint="eastAsia"/>
          <w:sz w:val="32"/>
          <w:szCs w:val="32"/>
        </w:rPr>
        <w:t>/</w:t>
      </w:r>
      <w:r>
        <w:rPr>
          <w:rFonts w:ascii="仿宋_GB2312" w:eastAsia="仿宋_GB2312" w:hint="eastAsia"/>
          <w:sz w:val="32"/>
          <w:szCs w:val="32"/>
        </w:rPr>
        <w:t>鼻咽通气道已列入《免于临床评价医疗器械目录》（以下简称</w:t>
      </w:r>
      <w:r>
        <w:rPr>
          <w:rFonts w:ascii="仿宋_GB2312" w:eastAsia="仿宋_GB2312"/>
          <w:sz w:val="32"/>
          <w:szCs w:val="32"/>
        </w:rPr>
        <w:t>目录</w:t>
      </w:r>
      <w:r>
        <w:rPr>
          <w:rFonts w:ascii="仿宋_GB2312" w:eastAsia="仿宋_GB2312" w:hint="eastAsia"/>
          <w:sz w:val="32"/>
          <w:szCs w:val="32"/>
        </w:rPr>
        <w:t>），申请人需提交申报产品相关信息与《目录》所述内容的对比资料和申报产品与已获准境内注册的《目录》</w:t>
      </w:r>
      <w:r>
        <w:rPr>
          <w:rFonts w:ascii="仿宋_GB2312" w:eastAsia="仿宋_GB2312" w:hint="eastAsia"/>
          <w:sz w:val="32"/>
          <w:szCs w:val="32"/>
        </w:rPr>
        <w:lastRenderedPageBreak/>
        <w:t>中医疗器械的对比说明。具体</w:t>
      </w:r>
      <w:r>
        <w:rPr>
          <w:rFonts w:ascii="仿宋_GB2312" w:eastAsia="仿宋_GB2312"/>
          <w:sz w:val="32"/>
          <w:szCs w:val="32"/>
        </w:rPr>
        <w:t>可按照《</w:t>
      </w:r>
      <w:r>
        <w:rPr>
          <w:rFonts w:ascii="仿宋_GB2312" w:eastAsia="仿宋_GB2312" w:hint="eastAsia"/>
          <w:sz w:val="32"/>
          <w:szCs w:val="32"/>
        </w:rPr>
        <w:t>列入免于临床评价医疗器械目录产品对比说明技术指导原则</w:t>
      </w:r>
      <w:r>
        <w:rPr>
          <w:rFonts w:ascii="仿宋_GB2312" w:eastAsia="仿宋_GB2312"/>
          <w:sz w:val="32"/>
          <w:szCs w:val="32"/>
        </w:rPr>
        <w:t>》</w:t>
      </w:r>
      <w:r>
        <w:rPr>
          <w:rFonts w:ascii="仿宋_GB2312" w:eastAsia="仿宋_GB2312" w:hint="eastAsia"/>
          <w:sz w:val="32"/>
          <w:szCs w:val="32"/>
        </w:rPr>
        <w:t>要求提交</w:t>
      </w:r>
      <w:r>
        <w:rPr>
          <w:rFonts w:ascii="仿宋_GB2312" w:eastAsia="仿宋_GB2312"/>
          <w:sz w:val="32"/>
          <w:szCs w:val="32"/>
        </w:rPr>
        <w:t>。</w:t>
      </w:r>
    </w:p>
    <w:p w:rsidR="00E76BFD" w:rsidRDefault="00332560">
      <w:pPr>
        <w:spacing w:line="520" w:lineRule="exact"/>
        <w:ind w:rightChars="-32" w:right="-67" w:firstLineChars="200" w:firstLine="640"/>
        <w:rPr>
          <w:rFonts w:eastAsia="楷体_GB2312"/>
          <w:sz w:val="32"/>
          <w:szCs w:val="32"/>
        </w:rPr>
      </w:pPr>
      <w:r>
        <w:rPr>
          <w:rFonts w:eastAsia="楷体_GB2312" w:hint="eastAsia"/>
          <w:sz w:val="32"/>
          <w:szCs w:val="32"/>
        </w:rPr>
        <w:t>（四）临床评价资料</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该产品列入《免于临床评价医疗器械目录》，申请人无需提交临床评价资料。</w:t>
      </w:r>
    </w:p>
    <w:p w:rsidR="00E76BFD" w:rsidRDefault="00332560">
      <w:pPr>
        <w:spacing w:line="520" w:lineRule="exact"/>
        <w:ind w:rightChars="-32" w:right="-67" w:firstLineChars="200" w:firstLine="640"/>
        <w:rPr>
          <w:rFonts w:eastAsia="楷体_GB2312"/>
          <w:sz w:val="32"/>
          <w:szCs w:val="32"/>
        </w:rPr>
      </w:pPr>
      <w:r>
        <w:rPr>
          <w:rFonts w:eastAsia="楷体_GB2312" w:hint="eastAsia"/>
          <w:sz w:val="32"/>
          <w:szCs w:val="32"/>
        </w:rPr>
        <w:t>（五）产品说明书和标签样稿</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产品说明书、标签样稿内容除需符合《医疗器械说明书和标签管理规定》要求外，还需符合</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w:t>
      </w:r>
      <w:r>
        <w:rPr>
          <w:rFonts w:ascii="仿宋_GB2312" w:eastAsia="仿宋_GB2312" w:hint="eastAsia"/>
          <w:sz w:val="32"/>
          <w:szCs w:val="32"/>
        </w:rPr>
        <w:t>YY/T 0466.1</w:t>
      </w:r>
      <w:r>
        <w:rPr>
          <w:rFonts w:ascii="仿宋_GB2312" w:eastAsia="仿宋_GB2312" w:hint="eastAsia"/>
          <w:sz w:val="32"/>
          <w:szCs w:val="32"/>
        </w:rPr>
        <w:t>《医疗器械</w:t>
      </w:r>
      <w:r>
        <w:rPr>
          <w:rFonts w:ascii="仿宋_GB2312" w:eastAsia="仿宋_GB2312" w:hint="eastAsia"/>
          <w:sz w:val="32"/>
          <w:szCs w:val="32"/>
        </w:rPr>
        <w:t xml:space="preserve"> </w:t>
      </w:r>
      <w:r>
        <w:rPr>
          <w:rFonts w:ascii="仿宋_GB2312" w:eastAsia="仿宋_GB2312" w:hint="eastAsia"/>
          <w:sz w:val="32"/>
          <w:szCs w:val="32"/>
        </w:rPr>
        <w:t>用于医疗器械标签、标记和提供信息的符号</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通用要求》中的相关规定。说明书中关于产品性能特征的描述不应超出研究资料及产品技术要求，不应含有未经验证的夸大宣传的相关描述。说明书中的产品适用范围应与研究资料等申报资料保持一致。型号</w:t>
      </w:r>
      <w:r>
        <w:rPr>
          <w:rFonts w:ascii="仿宋_GB2312" w:eastAsia="仿宋_GB2312" w:hint="eastAsia"/>
          <w:sz w:val="32"/>
          <w:szCs w:val="32"/>
        </w:rPr>
        <w:t>/</w:t>
      </w:r>
      <w:r>
        <w:rPr>
          <w:rFonts w:ascii="仿宋_GB2312" w:eastAsia="仿宋_GB2312" w:hint="eastAsia"/>
          <w:sz w:val="32"/>
          <w:szCs w:val="32"/>
        </w:rPr>
        <w:t>规格的表述需与产品技术要求保持一致。储存和运输条件不应超出产品货架有效期验证范围。</w:t>
      </w:r>
    </w:p>
    <w:p w:rsidR="00E76BFD" w:rsidRDefault="00332560">
      <w:pPr>
        <w:spacing w:line="520" w:lineRule="exact"/>
        <w:ind w:rightChars="-32" w:right="-67" w:firstLineChars="200" w:firstLine="640"/>
        <w:rPr>
          <w:rFonts w:eastAsia="楷体_GB2312"/>
          <w:sz w:val="32"/>
          <w:szCs w:val="32"/>
        </w:rPr>
      </w:pPr>
      <w:r>
        <w:rPr>
          <w:rFonts w:eastAsia="楷体_GB2312" w:hint="eastAsia"/>
          <w:sz w:val="32"/>
          <w:szCs w:val="32"/>
        </w:rPr>
        <w:t>（六）质量管理体系文件</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质量管</w:t>
      </w:r>
      <w:r>
        <w:rPr>
          <w:rFonts w:ascii="仿宋_GB2312" w:eastAsia="仿宋_GB2312" w:hint="eastAsia"/>
          <w:sz w:val="32"/>
          <w:szCs w:val="32"/>
        </w:rPr>
        <w:t>理体系文件应符合国家药品监督管理局《关于公布医疗器械注册申报资料要求和批准证明文件格式的公告》中对质量管理体系文件的要求。</w:t>
      </w:r>
    </w:p>
    <w:p w:rsidR="00E76BFD" w:rsidRDefault="00332560">
      <w:pPr>
        <w:numPr>
          <w:ilvl w:val="0"/>
          <w:numId w:val="1"/>
        </w:numPr>
        <w:spacing w:line="520" w:lineRule="exact"/>
        <w:ind w:rightChars="-32" w:right="-67" w:firstLineChars="200" w:firstLine="640"/>
        <w:rPr>
          <w:rFonts w:eastAsia="黑体"/>
          <w:sz w:val="32"/>
          <w:szCs w:val="32"/>
        </w:rPr>
      </w:pPr>
      <w:r>
        <w:rPr>
          <w:rFonts w:eastAsia="黑体" w:hint="eastAsia"/>
          <w:sz w:val="32"/>
          <w:szCs w:val="32"/>
        </w:rPr>
        <w:t>参考文献</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《医疗器械监督管理条例》</w:t>
      </w:r>
      <w:r>
        <w:rPr>
          <w:rFonts w:ascii="仿宋_GB2312" w:eastAsia="仿宋_GB2312" w:hint="eastAsia"/>
          <w:sz w:val="32"/>
          <w:szCs w:val="32"/>
        </w:rPr>
        <w:t xml:space="preserve">[Z]. </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《医疗器械注册与备案管理办法》</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《医疗器械说明书和标签管理规定》</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w:t>
      </w:r>
      <w:bookmarkStart w:id="2" w:name="_Hlk106979065"/>
      <w:r>
        <w:rPr>
          <w:rFonts w:ascii="仿宋_GB2312" w:eastAsia="仿宋_GB2312" w:hint="eastAsia"/>
          <w:sz w:val="32"/>
          <w:szCs w:val="32"/>
        </w:rPr>
        <w:t>医疗器械注册申报资料要求及说明</w:t>
      </w:r>
      <w:bookmarkEnd w:id="2"/>
      <w:r>
        <w:rPr>
          <w:rFonts w:ascii="仿宋_GB2312" w:eastAsia="仿宋_GB2312" w:hint="eastAsia"/>
          <w:sz w:val="32"/>
          <w:szCs w:val="32"/>
        </w:rPr>
        <w:t>》（</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[5]</w:t>
      </w:r>
      <w:r>
        <w:rPr>
          <w:rFonts w:ascii="仿宋_GB2312" w:eastAsia="仿宋_GB2312" w:hint="eastAsia"/>
          <w:sz w:val="32"/>
          <w:szCs w:val="32"/>
        </w:rPr>
        <w:t>《医疗器械分类目录》</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[6]</w:t>
      </w:r>
      <w:r>
        <w:rPr>
          <w:rFonts w:ascii="仿宋_GB2312" w:eastAsia="仿宋_GB2312" w:hint="eastAsia"/>
          <w:sz w:val="32"/>
          <w:szCs w:val="32"/>
        </w:rPr>
        <w:t>《医疗器械注册单元划分指导原则》</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lastRenderedPageBreak/>
        <w:t>[7]</w:t>
      </w:r>
      <w:r>
        <w:rPr>
          <w:rFonts w:ascii="仿宋_GB2312" w:eastAsia="仿宋_GB2312" w:hint="eastAsia"/>
          <w:sz w:val="32"/>
          <w:szCs w:val="32"/>
        </w:rPr>
        <w:t>《医疗器械通用名称命名指导原则》</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[8]</w:t>
      </w:r>
      <w:r>
        <w:rPr>
          <w:rFonts w:ascii="仿宋_GB2312" w:eastAsia="仿宋_GB2312" w:hint="eastAsia"/>
          <w:sz w:val="32"/>
          <w:szCs w:val="32"/>
        </w:rPr>
        <w:t>《关于发布免于临床评价医疗器械目录的通告》</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[9]</w:t>
      </w:r>
      <w:r>
        <w:rPr>
          <w:rFonts w:ascii="仿宋_GB2312" w:eastAsia="仿宋_GB2312" w:hint="eastAsia"/>
          <w:sz w:val="32"/>
          <w:szCs w:val="32"/>
        </w:rPr>
        <w:t>《医疗器械产品技术要求编写指导原则》</w:t>
      </w:r>
      <w:r>
        <w:rPr>
          <w:rFonts w:ascii="仿宋_GB2312" w:eastAsia="仿宋_GB2312" w:hint="eastAsia"/>
          <w:sz w:val="32"/>
          <w:szCs w:val="32"/>
        </w:rPr>
        <w:t>[Z].</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[10]</w:t>
      </w:r>
      <w:r>
        <w:rPr>
          <w:rFonts w:ascii="仿宋" w:eastAsia="仿宋" w:hAnsi="仿宋" w:hint="eastAsia"/>
          <w:sz w:val="32"/>
          <w:szCs w:val="32"/>
        </w:rPr>
        <w:t>GB 18279.1</w:t>
      </w:r>
      <w:r>
        <w:rPr>
          <w:rFonts w:ascii="仿宋" w:eastAsia="仿宋" w:hAnsi="仿宋" w:hint="eastAsia"/>
          <w:sz w:val="32"/>
          <w:szCs w:val="32"/>
        </w:rPr>
        <w:t>，《保健产品灭菌环氧乙烷</w:t>
      </w:r>
      <w:r>
        <w:rPr>
          <w:rFonts w:ascii="仿宋" w:eastAsia="仿宋" w:hAnsi="仿宋" w:hint="eastAsia"/>
          <w:sz w:val="32"/>
          <w:szCs w:val="32"/>
        </w:rPr>
        <w:t xml:space="preserve"> </w:t>
      </w:r>
      <w:r>
        <w:rPr>
          <w:rFonts w:ascii="仿宋" w:eastAsia="仿宋" w:hAnsi="仿宋" w:hint="eastAsia"/>
          <w:sz w:val="32"/>
          <w:szCs w:val="32"/>
        </w:rPr>
        <w:t>第</w:t>
      </w:r>
      <w:r>
        <w:rPr>
          <w:rFonts w:ascii="仿宋" w:eastAsia="仿宋" w:hAnsi="仿宋" w:hint="eastAsia"/>
          <w:sz w:val="32"/>
          <w:szCs w:val="32"/>
        </w:rPr>
        <w:t xml:space="preserve">1 </w:t>
      </w:r>
      <w:r>
        <w:rPr>
          <w:rFonts w:ascii="仿宋" w:eastAsia="仿宋" w:hAnsi="仿宋" w:hint="eastAsia"/>
          <w:sz w:val="32"/>
          <w:szCs w:val="32"/>
        </w:rPr>
        <w:t>部分：医疗器械灭菌过程的开发、确认和常规控制的要求》</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 w:eastAsia="仿宋" w:hAnsi="仿宋"/>
          <w:sz w:val="32"/>
          <w:szCs w:val="32"/>
        </w:rPr>
      </w:pPr>
      <w:r>
        <w:rPr>
          <w:rFonts w:ascii="仿宋_GB2312" w:eastAsia="仿宋_GB2312" w:hint="eastAsia"/>
          <w:sz w:val="32"/>
          <w:szCs w:val="32"/>
        </w:rPr>
        <w:t>[11]</w:t>
      </w:r>
      <w:r>
        <w:rPr>
          <w:rFonts w:ascii="仿宋" w:eastAsia="仿宋" w:hAnsi="仿宋" w:hint="eastAsia"/>
          <w:sz w:val="32"/>
          <w:szCs w:val="32"/>
        </w:rPr>
        <w:t>GB 18280</w:t>
      </w:r>
      <w:r>
        <w:rPr>
          <w:rFonts w:ascii="仿宋" w:eastAsia="仿宋" w:hAnsi="仿宋" w:hint="eastAsia"/>
          <w:sz w:val="32"/>
          <w:szCs w:val="32"/>
        </w:rPr>
        <w:t>，《</w:t>
      </w:r>
      <w:r>
        <w:rPr>
          <w:rFonts w:ascii="仿宋_GB2312" w:eastAsia="仿宋_GB2312" w:hint="eastAsia"/>
          <w:sz w:val="32"/>
          <w:szCs w:val="32"/>
        </w:rPr>
        <w:t>医疗保健产品灭菌</w:t>
      </w:r>
      <w:r>
        <w:rPr>
          <w:rFonts w:ascii="仿宋_GB2312" w:eastAsia="仿宋_GB2312" w:hint="eastAsia"/>
          <w:sz w:val="32"/>
          <w:szCs w:val="32"/>
        </w:rPr>
        <w:t xml:space="preserve"> </w:t>
      </w:r>
      <w:r>
        <w:rPr>
          <w:rFonts w:ascii="仿宋_GB2312" w:eastAsia="仿宋_GB2312" w:hint="eastAsia"/>
          <w:sz w:val="32"/>
          <w:szCs w:val="32"/>
        </w:rPr>
        <w:t>辐射</w:t>
      </w:r>
      <w:r>
        <w:rPr>
          <w:rFonts w:ascii="仿宋" w:eastAsia="仿宋" w:hAnsi="仿宋" w:hint="eastAsia"/>
          <w:sz w:val="32"/>
          <w:szCs w:val="32"/>
        </w:rPr>
        <w:t>》</w:t>
      </w:r>
      <w:r>
        <w:rPr>
          <w:rFonts w:ascii="仿宋_GB2312" w:eastAsia="仿宋_GB2312" w:hint="eastAsia"/>
          <w:sz w:val="32"/>
          <w:szCs w:val="32"/>
        </w:rPr>
        <w:t>系列标准</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[12]GB/T</w:t>
      </w:r>
      <w:r>
        <w:rPr>
          <w:rFonts w:ascii="仿宋" w:eastAsia="仿宋" w:hAnsi="仿宋" w:hint="eastAsia"/>
          <w:sz w:val="32"/>
          <w:szCs w:val="32"/>
        </w:rPr>
        <w:t xml:space="preserve"> </w:t>
      </w:r>
      <w:r>
        <w:rPr>
          <w:rFonts w:ascii="仿宋_GB2312" w:eastAsia="仿宋_GB2312" w:hint="eastAsia"/>
          <w:sz w:val="32"/>
          <w:szCs w:val="32"/>
        </w:rPr>
        <w:t>19633</w:t>
      </w:r>
      <w:r>
        <w:rPr>
          <w:rFonts w:ascii="仿宋_GB2312" w:eastAsia="仿宋_GB2312" w:hint="eastAsia"/>
          <w:sz w:val="32"/>
          <w:szCs w:val="32"/>
        </w:rPr>
        <w:t>，《最终灭菌医疗器械包装》系列标准</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[13]GB/T 16886</w:t>
      </w:r>
      <w:r>
        <w:rPr>
          <w:rFonts w:ascii="仿宋_GB2312" w:eastAsia="仿宋_GB2312" w:hint="eastAsia"/>
          <w:sz w:val="32"/>
          <w:szCs w:val="32"/>
        </w:rPr>
        <w:t>，《医疗器械生物学评价》系列标准</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[14]YY/T 0466.1</w:t>
      </w:r>
      <w:r>
        <w:rPr>
          <w:rFonts w:ascii="仿宋_GB2312" w:eastAsia="仿宋_GB2312" w:hint="eastAsia"/>
          <w:sz w:val="32"/>
          <w:szCs w:val="32"/>
        </w:rPr>
        <w:t>，《医疗器械</w:t>
      </w:r>
      <w:r>
        <w:rPr>
          <w:rFonts w:ascii="仿宋_GB2312" w:eastAsia="仿宋_GB2312" w:hint="eastAsia"/>
          <w:sz w:val="32"/>
          <w:szCs w:val="32"/>
        </w:rPr>
        <w:t xml:space="preserve"> </w:t>
      </w:r>
      <w:r>
        <w:rPr>
          <w:rFonts w:ascii="仿宋_GB2312" w:eastAsia="仿宋_GB2312" w:hint="eastAsia"/>
          <w:sz w:val="32"/>
          <w:szCs w:val="32"/>
        </w:rPr>
        <w:t>用于医疗器械标签、标记和提供信息的符号</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部分：通用要求》</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[15]YY</w:t>
      </w:r>
      <w:r>
        <w:rPr>
          <w:rFonts w:ascii="仿宋_GB2312" w:eastAsia="仿宋_GB2312" w:hint="eastAsia"/>
          <w:sz w:val="32"/>
          <w:szCs w:val="32"/>
        </w:rPr>
        <w:t>/T 0681.1</w:t>
      </w:r>
      <w:r>
        <w:rPr>
          <w:rFonts w:ascii="仿宋_GB2312" w:eastAsia="仿宋_GB2312" w:hint="eastAsia"/>
          <w:sz w:val="32"/>
          <w:szCs w:val="32"/>
        </w:rPr>
        <w:t>，《无菌医疗器械包装试验方法</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部分：加速老化试验指南》</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[16]YY/T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w:t>
      </w:r>
      <w:r>
        <w:rPr>
          <w:rFonts w:ascii="仿宋_GB2312" w:eastAsia="仿宋_GB2312" w:hint="eastAsia"/>
          <w:sz w:val="32"/>
          <w:szCs w:val="32"/>
        </w:rPr>
        <w:t>[S].</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[17]YY/T 1040.1</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圆锥接头</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部分：锥头与锥套》</w:t>
      </w:r>
      <w:r>
        <w:rPr>
          <w:rFonts w:ascii="仿宋_GB2312" w:eastAsia="仿宋_GB2312" w:hint="eastAsia"/>
          <w:sz w:val="32"/>
          <w:szCs w:val="32"/>
        </w:rPr>
        <w:t>[S].</w:t>
      </w:r>
    </w:p>
    <w:p w:rsidR="00E76BFD" w:rsidRDefault="00332560">
      <w:pPr>
        <w:spacing w:line="560" w:lineRule="exact"/>
        <w:ind w:firstLineChars="200" w:firstLine="640"/>
        <w:rPr>
          <w:rFonts w:ascii="方正小标宋简体" w:eastAsia="方正小标宋简体" w:hAnsi="方正小标宋简体" w:cs="方正小标宋简体"/>
          <w:sz w:val="44"/>
          <w:szCs w:val="44"/>
        </w:rPr>
      </w:pPr>
      <w:r>
        <w:rPr>
          <w:rFonts w:ascii="仿宋_GB2312" w:eastAsia="仿宋_GB2312" w:hint="eastAsia"/>
          <w:sz w:val="32"/>
          <w:szCs w:val="32"/>
        </w:rPr>
        <w:t>[18]</w:t>
      </w:r>
      <w:r>
        <w:rPr>
          <w:rFonts w:ascii="仿宋_GB2312" w:eastAsia="仿宋_GB2312" w:hint="eastAsia"/>
          <w:sz w:val="32"/>
          <w:szCs w:val="32"/>
        </w:rPr>
        <w:t>中华人民共和国药典</w:t>
      </w:r>
      <w:r>
        <w:rPr>
          <w:rFonts w:ascii="仿宋_GB2312" w:eastAsia="仿宋_GB2312" w:hint="eastAsia"/>
          <w:sz w:val="32"/>
          <w:szCs w:val="32"/>
        </w:rPr>
        <w:t>[S].</w:t>
      </w: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E76BFD">
      <w:pPr>
        <w:spacing w:line="560" w:lineRule="exact"/>
        <w:ind w:firstLineChars="200" w:firstLine="880"/>
        <w:rPr>
          <w:rFonts w:ascii="方正小标宋简体" w:eastAsia="方正小标宋简体" w:hAnsi="方正小标宋简体" w:cs="方正小标宋简体"/>
          <w:sz w:val="44"/>
          <w:szCs w:val="44"/>
        </w:rPr>
      </w:pPr>
    </w:p>
    <w:p w:rsidR="00E76BFD" w:rsidRDefault="00332560">
      <w:pPr>
        <w:spacing w:line="560" w:lineRule="exact"/>
        <w:ind w:firstLineChars="200" w:firstLine="883"/>
        <w:rPr>
          <w:rFonts w:asciiTheme="minorEastAsia" w:hAnsiTheme="minorEastAsia" w:cstheme="minorEastAsia"/>
          <w:b/>
          <w:bCs/>
          <w:sz w:val="44"/>
          <w:szCs w:val="44"/>
        </w:rPr>
      </w:pPr>
      <w:r>
        <w:rPr>
          <w:rFonts w:asciiTheme="minorEastAsia" w:hAnsiTheme="minorEastAsia" w:cstheme="minorEastAsia" w:hint="eastAsia"/>
          <w:b/>
          <w:bCs/>
          <w:sz w:val="44"/>
          <w:szCs w:val="44"/>
        </w:rPr>
        <w:t>口咽</w:t>
      </w:r>
      <w:r>
        <w:rPr>
          <w:rFonts w:asciiTheme="minorEastAsia" w:hAnsiTheme="minorEastAsia" w:cstheme="minorEastAsia" w:hint="eastAsia"/>
          <w:b/>
          <w:bCs/>
          <w:sz w:val="44"/>
          <w:szCs w:val="44"/>
        </w:rPr>
        <w:t>/</w:t>
      </w:r>
      <w:r>
        <w:rPr>
          <w:rFonts w:asciiTheme="minorEastAsia" w:hAnsiTheme="minorEastAsia" w:cstheme="minorEastAsia" w:hint="eastAsia"/>
          <w:b/>
          <w:bCs/>
          <w:sz w:val="44"/>
          <w:szCs w:val="44"/>
        </w:rPr>
        <w:t>鼻咽通气道注册审查指导原则</w:t>
      </w:r>
    </w:p>
    <w:p w:rsidR="00E76BFD" w:rsidRDefault="00332560">
      <w:pPr>
        <w:spacing w:line="560" w:lineRule="exact"/>
        <w:jc w:val="center"/>
        <w:rPr>
          <w:rFonts w:asciiTheme="minorEastAsia" w:hAnsiTheme="minorEastAsia" w:cstheme="minorEastAsia"/>
          <w:b/>
          <w:bCs/>
          <w:sz w:val="44"/>
          <w:szCs w:val="44"/>
        </w:rPr>
      </w:pPr>
      <w:r>
        <w:rPr>
          <w:rFonts w:asciiTheme="minorEastAsia" w:hAnsiTheme="minorEastAsia" w:cstheme="minorEastAsia" w:hint="eastAsia"/>
          <w:b/>
          <w:bCs/>
          <w:sz w:val="44"/>
          <w:szCs w:val="44"/>
        </w:rPr>
        <w:t>编制说明</w:t>
      </w:r>
    </w:p>
    <w:p w:rsidR="00E76BFD" w:rsidRDefault="00E76BFD">
      <w:pPr>
        <w:spacing w:line="560" w:lineRule="exact"/>
        <w:jc w:val="center"/>
        <w:rPr>
          <w:rFonts w:asciiTheme="minorEastAsia" w:hAnsiTheme="minorEastAsia" w:cstheme="minorEastAsia"/>
          <w:b/>
          <w:bCs/>
          <w:sz w:val="32"/>
          <w:szCs w:val="32"/>
        </w:rPr>
      </w:pPr>
    </w:p>
    <w:p w:rsidR="00E76BFD" w:rsidRDefault="00332560">
      <w:pPr>
        <w:spacing w:line="560" w:lineRule="exact"/>
        <w:ind w:firstLineChars="200" w:firstLine="640"/>
        <w:rPr>
          <w:rFonts w:ascii="黑体" w:eastAsia="黑体" w:hAnsi="黑体"/>
          <w:sz w:val="32"/>
          <w:szCs w:val="32"/>
        </w:rPr>
      </w:pPr>
      <w:r>
        <w:rPr>
          <w:rFonts w:ascii="黑体" w:eastAsia="黑体" w:hAnsi="黑体" w:hint="eastAsia"/>
          <w:sz w:val="32"/>
          <w:szCs w:val="32"/>
        </w:rPr>
        <w:t>一、</w:t>
      </w:r>
      <w:r>
        <w:rPr>
          <w:rFonts w:ascii="黑体" w:eastAsia="黑体" w:hAnsi="宋体" w:hint="eastAsia"/>
          <w:sz w:val="32"/>
          <w:szCs w:val="32"/>
        </w:rPr>
        <w:t>指导原则起草目的和背景</w:t>
      </w:r>
    </w:p>
    <w:p w:rsidR="00E76BFD" w:rsidRDefault="00332560">
      <w:pPr>
        <w:spacing w:line="560" w:lineRule="exact"/>
        <w:ind w:firstLineChars="200" w:firstLine="640"/>
        <w:rPr>
          <w:rFonts w:ascii="仿宋" w:eastAsia="仿宋" w:hAnsi="仿宋"/>
          <w:sz w:val="32"/>
          <w:szCs w:val="32"/>
        </w:rPr>
      </w:pPr>
      <w:r>
        <w:rPr>
          <w:rFonts w:ascii="仿宋" w:eastAsia="仿宋" w:hAnsi="仿宋" w:hint="eastAsia"/>
          <w:sz w:val="32"/>
          <w:szCs w:val="32"/>
        </w:rPr>
        <w:t>（一）本指导原则编写的目的是用于指导和规范第二类</w:t>
      </w:r>
      <w:r>
        <w:rPr>
          <w:rFonts w:ascii="仿宋" w:eastAsia="仿宋" w:hAnsi="仿宋" w:hint="eastAsia"/>
          <w:sz w:val="32"/>
          <w:szCs w:val="32"/>
        </w:rPr>
        <w:t>口咽</w:t>
      </w:r>
      <w:r>
        <w:rPr>
          <w:rFonts w:ascii="仿宋" w:eastAsia="仿宋" w:hAnsi="仿宋" w:hint="eastAsia"/>
          <w:sz w:val="32"/>
          <w:szCs w:val="32"/>
        </w:rPr>
        <w:t>/</w:t>
      </w:r>
      <w:r>
        <w:rPr>
          <w:rFonts w:ascii="仿宋" w:eastAsia="仿宋" w:hAnsi="仿宋" w:hint="eastAsia"/>
          <w:sz w:val="32"/>
          <w:szCs w:val="32"/>
        </w:rPr>
        <w:t>鼻咽通气道</w:t>
      </w:r>
      <w:r>
        <w:rPr>
          <w:rFonts w:ascii="仿宋" w:eastAsia="仿宋" w:hAnsi="仿宋" w:hint="eastAsia"/>
          <w:sz w:val="32"/>
          <w:szCs w:val="32"/>
        </w:rPr>
        <w:t>产品注册申报过程中审查人员对注册材料的技术审评。</w:t>
      </w:r>
    </w:p>
    <w:p w:rsidR="00E76BFD" w:rsidRDefault="00332560">
      <w:pPr>
        <w:spacing w:line="560" w:lineRule="exact"/>
        <w:ind w:firstLineChars="200" w:firstLine="640"/>
        <w:rPr>
          <w:rFonts w:ascii="仿宋" w:eastAsia="仿宋" w:hAnsi="仿宋"/>
          <w:sz w:val="32"/>
          <w:szCs w:val="32"/>
        </w:rPr>
      </w:pPr>
      <w:r>
        <w:rPr>
          <w:rFonts w:ascii="仿宋" w:eastAsia="仿宋" w:hAnsi="仿宋" w:hint="eastAsia"/>
          <w:sz w:val="32"/>
          <w:szCs w:val="32"/>
        </w:rPr>
        <w:t>（二）本规范旨在让初次接触该类产品的注册审查人员对产品原理、结构、主要性能、预期用途等各个方面有个基本了解，同时让技术审查人员在产品注册技术审评时把握基本的尺度，对产品安全性、有效性作出系统评价。</w:t>
      </w:r>
    </w:p>
    <w:p w:rsidR="00E76BFD" w:rsidRDefault="00332560">
      <w:pPr>
        <w:spacing w:line="560" w:lineRule="exact"/>
        <w:ind w:firstLineChars="200" w:firstLine="640"/>
        <w:rPr>
          <w:rFonts w:ascii="黑体" w:eastAsia="黑体" w:hAnsi="黑体"/>
          <w:sz w:val="32"/>
          <w:szCs w:val="32"/>
        </w:rPr>
      </w:pPr>
      <w:r>
        <w:rPr>
          <w:rFonts w:ascii="黑体" w:eastAsia="黑体" w:hAnsi="黑体" w:hint="eastAsia"/>
          <w:sz w:val="32"/>
          <w:szCs w:val="32"/>
        </w:rPr>
        <w:t>二、</w:t>
      </w:r>
      <w:r>
        <w:rPr>
          <w:rFonts w:ascii="黑体" w:eastAsia="黑体" w:hAnsi="宋体" w:hint="eastAsia"/>
          <w:sz w:val="32"/>
          <w:szCs w:val="32"/>
        </w:rPr>
        <w:t>指导原则</w:t>
      </w:r>
      <w:r>
        <w:rPr>
          <w:rFonts w:ascii="黑体" w:eastAsia="黑体" w:hAnsi="黑体" w:hint="eastAsia"/>
          <w:sz w:val="32"/>
          <w:szCs w:val="32"/>
        </w:rPr>
        <w:t>编写的依据</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（一）</w:t>
      </w:r>
      <w:r>
        <w:rPr>
          <w:rFonts w:ascii="仿宋_GB2312" w:eastAsia="仿宋_GB2312" w:hint="eastAsia"/>
          <w:sz w:val="32"/>
          <w:szCs w:val="32"/>
        </w:rPr>
        <w:t>《医疗器械监督管理条例》（中华人民共和国国务院令第</w:t>
      </w:r>
      <w:r>
        <w:rPr>
          <w:rFonts w:ascii="仿宋_GB2312" w:eastAsia="仿宋_GB2312" w:hint="eastAsia"/>
          <w:sz w:val="32"/>
          <w:szCs w:val="32"/>
        </w:rPr>
        <w:t>739</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二</w:t>
      </w:r>
      <w:r>
        <w:rPr>
          <w:rFonts w:ascii="仿宋" w:eastAsia="仿宋" w:hAnsi="仿宋" w:hint="eastAsia"/>
          <w:sz w:val="32"/>
          <w:szCs w:val="32"/>
        </w:rPr>
        <w:t>）</w:t>
      </w:r>
      <w:r>
        <w:rPr>
          <w:rFonts w:ascii="仿宋_GB2312" w:eastAsia="仿宋_GB2312" w:hint="eastAsia"/>
          <w:sz w:val="32"/>
          <w:szCs w:val="32"/>
        </w:rPr>
        <w:t>《医疗器械注册与备案管理办法》（国家市场监督管理总局令第</w:t>
      </w:r>
      <w:r>
        <w:rPr>
          <w:rFonts w:ascii="仿宋_GB2312" w:eastAsia="仿宋_GB2312" w:hint="eastAsia"/>
          <w:sz w:val="32"/>
          <w:szCs w:val="32"/>
        </w:rPr>
        <w:t>47</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三</w:t>
      </w:r>
      <w:r>
        <w:rPr>
          <w:rFonts w:ascii="仿宋" w:eastAsia="仿宋" w:hAnsi="仿宋" w:hint="eastAsia"/>
          <w:sz w:val="32"/>
          <w:szCs w:val="32"/>
        </w:rPr>
        <w:t>）</w:t>
      </w:r>
      <w:r>
        <w:rPr>
          <w:rFonts w:ascii="仿宋_GB2312" w:eastAsia="仿宋_GB2312" w:hint="eastAsia"/>
          <w:sz w:val="32"/>
          <w:szCs w:val="32"/>
        </w:rPr>
        <w:t>《医疗器械说明书和标签管理规定》（原国家食品药品监督管理总局令第</w:t>
      </w:r>
      <w:r>
        <w:rPr>
          <w:rFonts w:ascii="仿宋_GB2312" w:eastAsia="仿宋_GB2312" w:hint="eastAsia"/>
          <w:sz w:val="32"/>
          <w:szCs w:val="32"/>
        </w:rPr>
        <w:t>6</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四</w:t>
      </w:r>
      <w:r>
        <w:rPr>
          <w:rFonts w:ascii="仿宋" w:eastAsia="仿宋" w:hAnsi="仿宋" w:hint="eastAsia"/>
          <w:sz w:val="32"/>
          <w:szCs w:val="32"/>
        </w:rPr>
        <w:t>）</w:t>
      </w:r>
      <w:r>
        <w:rPr>
          <w:rFonts w:ascii="仿宋_GB2312" w:eastAsia="仿宋_GB2312" w:hint="eastAsia"/>
          <w:sz w:val="32"/>
          <w:szCs w:val="32"/>
        </w:rPr>
        <w:t>《医疗器械注册申报资料要求及说明》（国家药品监督管理局公告</w:t>
      </w:r>
      <w:r>
        <w:rPr>
          <w:rFonts w:ascii="仿宋_GB2312" w:eastAsia="仿宋_GB2312" w:hint="eastAsia"/>
          <w:sz w:val="32"/>
          <w:szCs w:val="32"/>
        </w:rPr>
        <w:t>2021</w:t>
      </w:r>
      <w:r>
        <w:rPr>
          <w:rFonts w:ascii="仿宋_GB2312" w:eastAsia="仿宋_GB2312" w:hint="eastAsia"/>
          <w:sz w:val="32"/>
          <w:szCs w:val="32"/>
        </w:rPr>
        <w:t>年第</w:t>
      </w:r>
      <w:r>
        <w:rPr>
          <w:rFonts w:ascii="仿宋_GB2312" w:eastAsia="仿宋_GB2312" w:hint="eastAsia"/>
          <w:sz w:val="32"/>
          <w:szCs w:val="32"/>
        </w:rPr>
        <w:t>121</w:t>
      </w:r>
      <w:r>
        <w:rPr>
          <w:rFonts w:ascii="仿宋_GB2312" w:eastAsia="仿宋_GB2312" w:hint="eastAsia"/>
          <w:sz w:val="32"/>
          <w:szCs w:val="32"/>
        </w:rPr>
        <w:t>号附件</w:t>
      </w:r>
      <w:r>
        <w:rPr>
          <w:rFonts w:ascii="仿宋_GB2312" w:eastAsia="仿宋_GB2312" w:hint="eastAsia"/>
          <w:sz w:val="32"/>
          <w:szCs w:val="32"/>
        </w:rPr>
        <w:t>5</w:t>
      </w:r>
      <w:r>
        <w:rPr>
          <w:rFonts w:ascii="仿宋_GB2312" w:eastAsia="仿宋_GB2312" w:hint="eastAsia"/>
          <w:sz w:val="32"/>
          <w:szCs w:val="32"/>
        </w:rPr>
        <w:t>）</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五</w:t>
      </w:r>
      <w:r>
        <w:rPr>
          <w:rFonts w:ascii="仿宋" w:eastAsia="仿宋" w:hAnsi="仿宋" w:hint="eastAsia"/>
          <w:sz w:val="32"/>
          <w:szCs w:val="32"/>
        </w:rPr>
        <w:t>）</w:t>
      </w:r>
      <w:r>
        <w:rPr>
          <w:rFonts w:ascii="仿宋_GB2312" w:eastAsia="仿宋_GB2312" w:hint="eastAsia"/>
          <w:sz w:val="32"/>
          <w:szCs w:val="32"/>
        </w:rPr>
        <w:t>《医疗器械分类目录》（原国家食品药品监督管理总局公告</w:t>
      </w:r>
      <w:r>
        <w:rPr>
          <w:rFonts w:ascii="仿宋_GB2312" w:eastAsia="仿宋_GB2312" w:hint="eastAsia"/>
          <w:sz w:val="32"/>
          <w:szCs w:val="32"/>
        </w:rPr>
        <w:t>2017</w:t>
      </w:r>
      <w:r>
        <w:rPr>
          <w:rFonts w:ascii="仿宋_GB2312" w:eastAsia="仿宋_GB2312" w:hint="eastAsia"/>
          <w:sz w:val="32"/>
          <w:szCs w:val="32"/>
        </w:rPr>
        <w:t>年第</w:t>
      </w:r>
      <w:r>
        <w:rPr>
          <w:rFonts w:ascii="仿宋_GB2312" w:eastAsia="仿宋_GB2312" w:hint="eastAsia"/>
          <w:sz w:val="32"/>
          <w:szCs w:val="32"/>
        </w:rPr>
        <w:t>104</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六</w:t>
      </w:r>
      <w:r>
        <w:rPr>
          <w:rFonts w:ascii="仿宋" w:eastAsia="仿宋" w:hAnsi="仿宋" w:hint="eastAsia"/>
          <w:sz w:val="32"/>
          <w:szCs w:val="32"/>
        </w:rPr>
        <w:t>）</w:t>
      </w:r>
      <w:r>
        <w:rPr>
          <w:rFonts w:ascii="仿宋_GB2312" w:eastAsia="仿宋_GB2312" w:hint="eastAsia"/>
          <w:sz w:val="32"/>
          <w:szCs w:val="32"/>
        </w:rPr>
        <w:t>《医疗器械注册单元划分指导原则》（原国家食品</w:t>
      </w:r>
      <w:r>
        <w:rPr>
          <w:rFonts w:ascii="仿宋_GB2312" w:eastAsia="仿宋_GB2312" w:hint="eastAsia"/>
          <w:sz w:val="32"/>
          <w:szCs w:val="32"/>
        </w:rPr>
        <w:lastRenderedPageBreak/>
        <w:t>药品监督管理总局通告</w:t>
      </w:r>
      <w:r>
        <w:rPr>
          <w:rFonts w:ascii="仿宋_GB2312" w:eastAsia="仿宋_GB2312" w:hint="eastAsia"/>
          <w:sz w:val="32"/>
          <w:szCs w:val="32"/>
        </w:rPr>
        <w:t>2017</w:t>
      </w:r>
      <w:r>
        <w:rPr>
          <w:rFonts w:ascii="仿宋_GB2312" w:eastAsia="仿宋_GB2312" w:hint="eastAsia"/>
          <w:sz w:val="32"/>
          <w:szCs w:val="32"/>
        </w:rPr>
        <w:t>年第</w:t>
      </w:r>
      <w:r>
        <w:rPr>
          <w:rFonts w:ascii="仿宋_GB2312" w:eastAsia="仿宋_GB2312" w:hint="eastAsia"/>
          <w:sz w:val="32"/>
          <w:szCs w:val="32"/>
        </w:rPr>
        <w:t>187</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七</w:t>
      </w:r>
      <w:r>
        <w:rPr>
          <w:rFonts w:ascii="仿宋" w:eastAsia="仿宋" w:hAnsi="仿宋" w:hint="eastAsia"/>
          <w:sz w:val="32"/>
          <w:szCs w:val="32"/>
        </w:rPr>
        <w:t>）</w:t>
      </w:r>
      <w:r>
        <w:rPr>
          <w:rFonts w:ascii="仿宋_GB2312" w:eastAsia="仿宋_GB2312" w:hint="eastAsia"/>
          <w:sz w:val="32"/>
          <w:szCs w:val="32"/>
        </w:rPr>
        <w:t>《医疗器械通用名称命名指导原则》</w:t>
      </w:r>
      <w:r>
        <w:rPr>
          <w:rFonts w:ascii="仿宋_GB2312" w:eastAsia="仿宋_GB2312" w:hint="eastAsia"/>
          <w:sz w:val="32"/>
          <w:szCs w:val="32"/>
        </w:rPr>
        <w:t xml:space="preserve"> (</w:t>
      </w:r>
      <w:r>
        <w:rPr>
          <w:rFonts w:ascii="仿宋_GB2312" w:eastAsia="仿宋_GB2312" w:hint="eastAsia"/>
          <w:sz w:val="32"/>
          <w:szCs w:val="32"/>
        </w:rPr>
        <w:t>国家药品监督管理局通告</w:t>
      </w:r>
      <w:r>
        <w:rPr>
          <w:rFonts w:ascii="仿宋_GB2312" w:eastAsia="仿宋_GB2312" w:hint="eastAsia"/>
          <w:sz w:val="32"/>
          <w:szCs w:val="32"/>
        </w:rPr>
        <w:t>2019</w:t>
      </w:r>
      <w:r>
        <w:rPr>
          <w:rFonts w:ascii="仿宋_GB2312" w:eastAsia="仿宋_GB2312" w:hint="eastAsia"/>
          <w:sz w:val="32"/>
          <w:szCs w:val="32"/>
        </w:rPr>
        <w:t>年第</w:t>
      </w:r>
      <w:r>
        <w:rPr>
          <w:rFonts w:ascii="仿宋_GB2312" w:eastAsia="仿宋_GB2312" w:hint="eastAsia"/>
          <w:sz w:val="32"/>
          <w:szCs w:val="32"/>
        </w:rPr>
        <w:t>99</w:t>
      </w:r>
      <w:r>
        <w:rPr>
          <w:rFonts w:ascii="仿宋_GB2312" w:eastAsia="仿宋_GB2312" w:hint="eastAsia"/>
          <w:sz w:val="32"/>
          <w:szCs w:val="32"/>
        </w:rPr>
        <w:t>号</w:t>
      </w:r>
      <w:r>
        <w:rPr>
          <w:rFonts w:ascii="仿宋_GB2312" w:eastAsia="仿宋_GB2312" w:hint="eastAsia"/>
          <w:sz w:val="32"/>
          <w:szCs w:val="32"/>
        </w:rPr>
        <w:t xml:space="preserve">) </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八</w:t>
      </w:r>
      <w:r>
        <w:rPr>
          <w:rFonts w:ascii="仿宋" w:eastAsia="仿宋" w:hAnsi="仿宋" w:hint="eastAsia"/>
          <w:sz w:val="32"/>
          <w:szCs w:val="32"/>
        </w:rPr>
        <w:t>）</w:t>
      </w:r>
      <w:r>
        <w:rPr>
          <w:rFonts w:ascii="仿宋_GB2312" w:eastAsia="仿宋_GB2312" w:hint="eastAsia"/>
          <w:sz w:val="32"/>
          <w:szCs w:val="32"/>
        </w:rPr>
        <w:t>《关于发布免于临床评价医疗器械目录的通告》（国家药监局通告</w:t>
      </w:r>
      <w:r>
        <w:rPr>
          <w:rFonts w:ascii="仿宋_GB2312" w:eastAsia="仿宋_GB2312" w:hint="eastAsia"/>
          <w:sz w:val="32"/>
          <w:szCs w:val="32"/>
        </w:rPr>
        <w:t>2021</w:t>
      </w:r>
      <w:r>
        <w:rPr>
          <w:rFonts w:ascii="仿宋_GB2312" w:eastAsia="仿宋_GB2312" w:hint="eastAsia"/>
          <w:sz w:val="32"/>
          <w:szCs w:val="32"/>
        </w:rPr>
        <w:t>年第</w:t>
      </w:r>
      <w:r>
        <w:rPr>
          <w:rFonts w:ascii="仿宋_GB2312" w:eastAsia="仿宋_GB2312" w:hint="eastAsia"/>
          <w:sz w:val="32"/>
          <w:szCs w:val="32"/>
        </w:rPr>
        <w:t>71</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九</w:t>
      </w:r>
      <w:r>
        <w:rPr>
          <w:rFonts w:ascii="仿宋" w:eastAsia="仿宋" w:hAnsi="仿宋" w:hint="eastAsia"/>
          <w:sz w:val="32"/>
          <w:szCs w:val="32"/>
        </w:rPr>
        <w:t>）</w:t>
      </w:r>
      <w:r>
        <w:rPr>
          <w:rFonts w:ascii="仿宋_GB2312" w:eastAsia="仿宋_GB2312" w:hint="eastAsia"/>
          <w:sz w:val="32"/>
          <w:szCs w:val="32"/>
        </w:rPr>
        <w:t>《医疗器械产品技术要求编写指导原则》（国家药品监督管理局通告</w:t>
      </w:r>
      <w:r>
        <w:rPr>
          <w:rFonts w:ascii="仿宋_GB2312" w:eastAsia="仿宋_GB2312" w:hint="eastAsia"/>
          <w:sz w:val="32"/>
          <w:szCs w:val="32"/>
        </w:rPr>
        <w:t>2022</w:t>
      </w:r>
      <w:r>
        <w:rPr>
          <w:rFonts w:ascii="仿宋_GB2312" w:eastAsia="仿宋_GB2312" w:hint="eastAsia"/>
          <w:sz w:val="32"/>
          <w:szCs w:val="32"/>
        </w:rPr>
        <w:t>年第</w:t>
      </w:r>
      <w:r>
        <w:rPr>
          <w:rFonts w:ascii="仿宋_GB2312" w:eastAsia="仿宋_GB2312" w:hint="eastAsia"/>
          <w:sz w:val="32"/>
          <w:szCs w:val="32"/>
        </w:rPr>
        <w:t>8</w:t>
      </w:r>
      <w:r>
        <w:rPr>
          <w:rFonts w:ascii="仿宋_GB2312" w:eastAsia="仿宋_GB2312" w:hint="eastAsia"/>
          <w:sz w:val="32"/>
          <w:szCs w:val="32"/>
        </w:rPr>
        <w:t>号）</w:t>
      </w:r>
    </w:p>
    <w:p w:rsidR="00E76BFD" w:rsidRDefault="00332560">
      <w:pPr>
        <w:spacing w:line="520" w:lineRule="exact"/>
        <w:ind w:rightChars="-32" w:right="-67" w:firstLineChars="200" w:firstLine="640"/>
        <w:rPr>
          <w:rFonts w:ascii="仿宋_GB2312" w:eastAsia="仿宋"/>
          <w:sz w:val="32"/>
          <w:szCs w:val="32"/>
        </w:rPr>
      </w:pPr>
      <w:r>
        <w:rPr>
          <w:rFonts w:ascii="仿宋" w:eastAsia="仿宋" w:hAnsi="仿宋" w:hint="eastAsia"/>
          <w:sz w:val="32"/>
          <w:szCs w:val="32"/>
        </w:rPr>
        <w:t>（</w:t>
      </w:r>
      <w:r>
        <w:rPr>
          <w:rFonts w:ascii="仿宋" w:eastAsia="仿宋" w:hAnsi="仿宋" w:hint="eastAsia"/>
          <w:sz w:val="32"/>
          <w:szCs w:val="32"/>
        </w:rPr>
        <w:t>十</w:t>
      </w:r>
      <w:r>
        <w:rPr>
          <w:rFonts w:ascii="仿宋" w:eastAsia="仿宋" w:hAnsi="仿宋" w:hint="eastAsia"/>
          <w:sz w:val="32"/>
          <w:szCs w:val="32"/>
        </w:rPr>
        <w:t>）</w:t>
      </w:r>
      <w:r>
        <w:rPr>
          <w:rFonts w:ascii="仿宋" w:eastAsia="仿宋" w:hAnsi="仿宋" w:hint="eastAsia"/>
          <w:sz w:val="32"/>
          <w:szCs w:val="32"/>
        </w:rPr>
        <w:t>GB 18279.1</w:t>
      </w:r>
      <w:r>
        <w:rPr>
          <w:rFonts w:ascii="仿宋" w:eastAsia="仿宋" w:hAnsi="仿宋" w:hint="eastAsia"/>
          <w:sz w:val="32"/>
          <w:szCs w:val="32"/>
        </w:rPr>
        <w:t>，《保健产品灭菌环氧乙烷</w:t>
      </w:r>
      <w:r>
        <w:rPr>
          <w:rFonts w:ascii="仿宋" w:eastAsia="仿宋" w:hAnsi="仿宋" w:hint="eastAsia"/>
          <w:sz w:val="32"/>
          <w:szCs w:val="32"/>
        </w:rPr>
        <w:t xml:space="preserve"> </w:t>
      </w:r>
      <w:r>
        <w:rPr>
          <w:rFonts w:ascii="仿宋" w:eastAsia="仿宋" w:hAnsi="仿宋" w:hint="eastAsia"/>
          <w:sz w:val="32"/>
          <w:szCs w:val="32"/>
        </w:rPr>
        <w:t>第</w:t>
      </w:r>
      <w:r>
        <w:rPr>
          <w:rFonts w:ascii="仿宋" w:eastAsia="仿宋" w:hAnsi="仿宋" w:hint="eastAsia"/>
          <w:sz w:val="32"/>
          <w:szCs w:val="32"/>
        </w:rPr>
        <w:t xml:space="preserve">1 </w:t>
      </w:r>
      <w:r>
        <w:rPr>
          <w:rFonts w:ascii="仿宋" w:eastAsia="仿宋" w:hAnsi="仿宋" w:hint="eastAsia"/>
          <w:sz w:val="32"/>
          <w:szCs w:val="32"/>
        </w:rPr>
        <w:t>部分：医疗器械灭菌过程的开发、确认和常规控制的要求》</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十</w:t>
      </w:r>
      <w:r>
        <w:rPr>
          <w:rFonts w:ascii="仿宋" w:eastAsia="仿宋" w:hAnsi="仿宋" w:hint="eastAsia"/>
          <w:sz w:val="32"/>
          <w:szCs w:val="32"/>
        </w:rPr>
        <w:t>一）</w:t>
      </w:r>
      <w:r>
        <w:rPr>
          <w:rFonts w:ascii="仿宋" w:eastAsia="仿宋" w:hAnsi="仿宋" w:hint="eastAsia"/>
          <w:sz w:val="32"/>
          <w:szCs w:val="32"/>
        </w:rPr>
        <w:t>GB 18280</w:t>
      </w:r>
      <w:r>
        <w:rPr>
          <w:rFonts w:ascii="仿宋" w:eastAsia="仿宋" w:hAnsi="仿宋" w:hint="eastAsia"/>
          <w:sz w:val="32"/>
          <w:szCs w:val="32"/>
        </w:rPr>
        <w:t>，《</w:t>
      </w:r>
      <w:r>
        <w:rPr>
          <w:rFonts w:ascii="仿宋_GB2312" w:eastAsia="仿宋_GB2312" w:hint="eastAsia"/>
          <w:sz w:val="32"/>
          <w:szCs w:val="32"/>
        </w:rPr>
        <w:t>医疗保健产品灭菌</w:t>
      </w:r>
      <w:r>
        <w:rPr>
          <w:rFonts w:ascii="仿宋_GB2312" w:eastAsia="仿宋_GB2312" w:hint="eastAsia"/>
          <w:sz w:val="32"/>
          <w:szCs w:val="32"/>
        </w:rPr>
        <w:t xml:space="preserve"> </w:t>
      </w:r>
      <w:r>
        <w:rPr>
          <w:rFonts w:ascii="仿宋_GB2312" w:eastAsia="仿宋_GB2312" w:hint="eastAsia"/>
          <w:sz w:val="32"/>
          <w:szCs w:val="32"/>
        </w:rPr>
        <w:t>辐射</w:t>
      </w:r>
      <w:r>
        <w:rPr>
          <w:rFonts w:ascii="仿宋" w:eastAsia="仿宋" w:hAnsi="仿宋" w:hint="eastAsia"/>
          <w:sz w:val="32"/>
          <w:szCs w:val="32"/>
        </w:rPr>
        <w:t>》</w:t>
      </w:r>
      <w:r>
        <w:rPr>
          <w:rFonts w:ascii="仿宋_GB2312" w:eastAsia="仿宋_GB2312" w:hint="eastAsia"/>
          <w:sz w:val="32"/>
          <w:szCs w:val="32"/>
        </w:rPr>
        <w:t>系列标准</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十二</w:t>
      </w:r>
      <w:r>
        <w:rPr>
          <w:rFonts w:ascii="仿宋" w:eastAsia="仿宋" w:hAnsi="仿宋" w:hint="eastAsia"/>
          <w:sz w:val="32"/>
          <w:szCs w:val="32"/>
        </w:rPr>
        <w:t>）</w:t>
      </w:r>
      <w:r>
        <w:rPr>
          <w:rFonts w:ascii="仿宋_GB2312" w:eastAsia="仿宋_GB2312" w:hint="eastAsia"/>
          <w:sz w:val="32"/>
          <w:szCs w:val="32"/>
        </w:rPr>
        <w:t>GB/T 19633</w:t>
      </w:r>
      <w:r>
        <w:rPr>
          <w:rFonts w:ascii="仿宋_GB2312" w:eastAsia="仿宋_GB2312" w:hint="eastAsia"/>
          <w:sz w:val="32"/>
          <w:szCs w:val="32"/>
        </w:rPr>
        <w:t>，《最终灭菌医疗器械包装》系列标准</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十三</w:t>
      </w:r>
      <w:r>
        <w:rPr>
          <w:rFonts w:ascii="仿宋" w:eastAsia="仿宋" w:hAnsi="仿宋" w:hint="eastAsia"/>
          <w:sz w:val="32"/>
          <w:szCs w:val="32"/>
        </w:rPr>
        <w:t>）</w:t>
      </w:r>
      <w:r>
        <w:rPr>
          <w:rFonts w:ascii="仿宋_GB2312" w:eastAsia="仿宋_GB2312" w:hint="eastAsia"/>
          <w:sz w:val="32"/>
          <w:szCs w:val="32"/>
        </w:rPr>
        <w:t>GB/T 16886</w:t>
      </w:r>
      <w:r>
        <w:rPr>
          <w:rFonts w:ascii="仿宋_GB2312" w:eastAsia="仿宋_GB2312" w:hint="eastAsia"/>
          <w:sz w:val="32"/>
          <w:szCs w:val="32"/>
        </w:rPr>
        <w:t>，《医疗器械生物学评价》系列标准</w:t>
      </w:r>
    </w:p>
    <w:p w:rsidR="00E76BFD" w:rsidRDefault="00332560">
      <w:pPr>
        <w:spacing w:line="520" w:lineRule="exact"/>
        <w:ind w:rightChars="-32" w:right="-67" w:firstLineChars="200" w:firstLine="640"/>
        <w:rPr>
          <w:rFonts w:ascii="仿宋_GB2312" w:eastAsia="仿宋_GB2312"/>
          <w:sz w:val="32"/>
          <w:szCs w:val="32"/>
        </w:rPr>
      </w:pPr>
      <w:r>
        <w:rPr>
          <w:rFonts w:ascii="仿宋" w:eastAsia="仿宋" w:hAnsi="仿宋" w:hint="eastAsia"/>
          <w:sz w:val="32"/>
          <w:szCs w:val="32"/>
        </w:rPr>
        <w:t>（</w:t>
      </w:r>
      <w:r>
        <w:rPr>
          <w:rFonts w:ascii="仿宋" w:eastAsia="仿宋" w:hAnsi="仿宋" w:hint="eastAsia"/>
          <w:sz w:val="32"/>
          <w:szCs w:val="32"/>
        </w:rPr>
        <w:t>十四</w:t>
      </w:r>
      <w:r>
        <w:rPr>
          <w:rFonts w:ascii="仿宋" w:eastAsia="仿宋" w:hAnsi="仿宋" w:hint="eastAsia"/>
          <w:sz w:val="32"/>
          <w:szCs w:val="32"/>
        </w:rPr>
        <w:t>）</w:t>
      </w:r>
      <w:r>
        <w:rPr>
          <w:rFonts w:ascii="仿宋_GB2312" w:eastAsia="仿宋_GB2312" w:hint="eastAsia"/>
          <w:sz w:val="32"/>
          <w:szCs w:val="32"/>
        </w:rPr>
        <w:t>YY/T 0977</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口咽通气道》</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（十五）</w:t>
      </w:r>
      <w:r>
        <w:rPr>
          <w:rFonts w:ascii="仿宋_GB2312" w:eastAsia="仿宋_GB2312" w:hint="eastAsia"/>
          <w:sz w:val="32"/>
          <w:szCs w:val="32"/>
        </w:rPr>
        <w:t>YY/T 0681.1</w:t>
      </w:r>
      <w:r>
        <w:rPr>
          <w:rFonts w:ascii="仿宋_GB2312" w:eastAsia="仿宋_GB2312" w:hint="eastAsia"/>
          <w:sz w:val="32"/>
          <w:szCs w:val="32"/>
        </w:rPr>
        <w:t>，《无菌医疗器械包装试验方法</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部分：加速老化试验指南》</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（十六）</w:t>
      </w:r>
      <w:r>
        <w:rPr>
          <w:rFonts w:ascii="仿宋_GB2312" w:eastAsia="仿宋_GB2312" w:hint="eastAsia"/>
          <w:sz w:val="32"/>
          <w:szCs w:val="32"/>
        </w:rPr>
        <w:t>YY/T 1040.1</w:t>
      </w:r>
      <w:r>
        <w:rPr>
          <w:rFonts w:ascii="仿宋_GB2312" w:eastAsia="仿宋_GB2312" w:hint="eastAsia"/>
          <w:sz w:val="32"/>
          <w:szCs w:val="32"/>
        </w:rPr>
        <w:t>，《麻醉和呼吸设备</w:t>
      </w:r>
      <w:r>
        <w:rPr>
          <w:rFonts w:ascii="仿宋_GB2312" w:eastAsia="仿宋_GB2312" w:hint="eastAsia"/>
          <w:sz w:val="32"/>
          <w:szCs w:val="32"/>
        </w:rPr>
        <w:t xml:space="preserve"> </w:t>
      </w:r>
      <w:r>
        <w:rPr>
          <w:rFonts w:ascii="仿宋_GB2312" w:eastAsia="仿宋_GB2312" w:hint="eastAsia"/>
          <w:sz w:val="32"/>
          <w:szCs w:val="32"/>
        </w:rPr>
        <w:t>圆锥接头</w:t>
      </w:r>
      <w:r>
        <w:rPr>
          <w:rFonts w:ascii="仿宋_GB2312" w:eastAsia="仿宋_GB2312" w:hint="eastAsia"/>
          <w:sz w:val="32"/>
          <w:szCs w:val="32"/>
        </w:rPr>
        <w:t xml:space="preserve"> </w:t>
      </w:r>
      <w:r>
        <w:rPr>
          <w:rFonts w:ascii="仿宋_GB2312" w:eastAsia="仿宋_GB2312" w:hint="eastAsia"/>
          <w:sz w:val="32"/>
          <w:szCs w:val="32"/>
        </w:rPr>
        <w:t>第</w:t>
      </w:r>
      <w:r>
        <w:rPr>
          <w:rFonts w:ascii="仿宋_GB2312" w:eastAsia="仿宋_GB2312" w:hint="eastAsia"/>
          <w:sz w:val="32"/>
          <w:szCs w:val="32"/>
        </w:rPr>
        <w:t>1</w:t>
      </w:r>
      <w:r>
        <w:rPr>
          <w:rFonts w:ascii="仿宋_GB2312" w:eastAsia="仿宋_GB2312" w:hint="eastAsia"/>
          <w:sz w:val="32"/>
          <w:szCs w:val="32"/>
        </w:rPr>
        <w:t>部分：锥头与锥套》</w:t>
      </w:r>
    </w:p>
    <w:p w:rsidR="00E76BFD" w:rsidRDefault="00332560">
      <w:pPr>
        <w:spacing w:line="520" w:lineRule="exact"/>
        <w:ind w:rightChars="-32" w:right="-67" w:firstLineChars="200" w:firstLine="640"/>
        <w:rPr>
          <w:rFonts w:ascii="仿宋_GB2312" w:eastAsia="仿宋_GB2312"/>
          <w:sz w:val="32"/>
          <w:szCs w:val="32"/>
        </w:rPr>
      </w:pPr>
      <w:r>
        <w:rPr>
          <w:rFonts w:ascii="仿宋_GB2312" w:eastAsia="仿宋_GB2312" w:hint="eastAsia"/>
          <w:sz w:val="32"/>
          <w:szCs w:val="32"/>
        </w:rPr>
        <w:t>（十七）中华人民共和国药典（</w:t>
      </w:r>
      <w:r>
        <w:rPr>
          <w:rFonts w:ascii="仿宋_GB2312" w:eastAsia="仿宋_GB2312" w:hint="eastAsia"/>
          <w:sz w:val="32"/>
          <w:szCs w:val="32"/>
        </w:rPr>
        <w:t>2020</w:t>
      </w:r>
      <w:r>
        <w:rPr>
          <w:rFonts w:ascii="仿宋_GB2312" w:eastAsia="仿宋_GB2312" w:hint="eastAsia"/>
          <w:sz w:val="32"/>
          <w:szCs w:val="32"/>
        </w:rPr>
        <w:t>版）</w:t>
      </w:r>
    </w:p>
    <w:p w:rsidR="00E76BFD" w:rsidRDefault="00332560">
      <w:pPr>
        <w:spacing w:line="560" w:lineRule="exact"/>
        <w:ind w:firstLineChars="200" w:firstLine="640"/>
        <w:rPr>
          <w:rFonts w:ascii="黑体" w:eastAsia="黑体" w:hAnsi="黑体"/>
          <w:sz w:val="32"/>
          <w:szCs w:val="32"/>
        </w:rPr>
      </w:pPr>
      <w:r>
        <w:rPr>
          <w:rFonts w:ascii="黑体" w:eastAsia="黑体" w:hAnsi="黑体" w:hint="eastAsia"/>
          <w:sz w:val="32"/>
          <w:szCs w:val="32"/>
        </w:rPr>
        <w:t>三、</w:t>
      </w:r>
      <w:r>
        <w:rPr>
          <w:rFonts w:ascii="黑体" w:eastAsia="黑体" w:hAnsi="宋体" w:hint="eastAsia"/>
          <w:sz w:val="32"/>
          <w:szCs w:val="32"/>
        </w:rPr>
        <w:t>指导原则</w:t>
      </w:r>
      <w:r>
        <w:rPr>
          <w:rFonts w:ascii="黑体" w:eastAsia="黑体" w:hAnsi="黑体" w:hint="eastAsia"/>
          <w:sz w:val="32"/>
          <w:szCs w:val="32"/>
        </w:rPr>
        <w:t>中重点内容说明</w:t>
      </w:r>
    </w:p>
    <w:p w:rsidR="00E76BFD" w:rsidRDefault="00332560">
      <w:pPr>
        <w:spacing w:line="560" w:lineRule="exact"/>
        <w:ind w:firstLineChars="200" w:firstLine="640"/>
        <w:rPr>
          <w:rFonts w:ascii="仿宋" w:eastAsia="仿宋" w:hAnsi="仿宋"/>
          <w:sz w:val="32"/>
          <w:szCs w:val="32"/>
        </w:rPr>
      </w:pPr>
      <w:r>
        <w:rPr>
          <w:rFonts w:ascii="仿宋" w:eastAsia="仿宋" w:hAnsi="仿宋" w:hint="eastAsia"/>
          <w:sz w:val="32"/>
          <w:szCs w:val="32"/>
        </w:rPr>
        <w:t>（一）根据《医疗器械分类目录》</w:t>
      </w:r>
      <w:r>
        <w:rPr>
          <w:rFonts w:ascii="仿宋" w:eastAsia="仿宋" w:hAnsi="仿宋" w:hint="eastAsia"/>
          <w:sz w:val="32"/>
          <w:szCs w:val="32"/>
        </w:rPr>
        <w:t>、</w:t>
      </w:r>
      <w:r>
        <w:rPr>
          <w:rFonts w:ascii="仿宋" w:eastAsia="仿宋" w:hAnsi="仿宋" w:hint="eastAsia"/>
          <w:sz w:val="32"/>
          <w:szCs w:val="32"/>
        </w:rPr>
        <w:t>《医疗器械分类规则》确定了</w:t>
      </w:r>
      <w:r>
        <w:rPr>
          <w:rFonts w:ascii="仿宋" w:eastAsia="仿宋" w:hAnsi="仿宋" w:hint="eastAsia"/>
          <w:sz w:val="32"/>
          <w:szCs w:val="32"/>
        </w:rPr>
        <w:t>口咽</w:t>
      </w:r>
      <w:r>
        <w:rPr>
          <w:rFonts w:ascii="仿宋" w:eastAsia="仿宋" w:hAnsi="仿宋" w:hint="eastAsia"/>
          <w:sz w:val="32"/>
          <w:szCs w:val="32"/>
        </w:rPr>
        <w:t>/</w:t>
      </w:r>
      <w:r>
        <w:rPr>
          <w:rFonts w:ascii="仿宋" w:eastAsia="仿宋" w:hAnsi="仿宋" w:hint="eastAsia"/>
          <w:sz w:val="32"/>
          <w:szCs w:val="32"/>
        </w:rPr>
        <w:t>鼻咽通气道</w:t>
      </w:r>
      <w:r>
        <w:rPr>
          <w:rFonts w:ascii="仿宋" w:eastAsia="仿宋" w:hAnsi="仿宋" w:hint="eastAsia"/>
          <w:sz w:val="32"/>
          <w:szCs w:val="32"/>
        </w:rPr>
        <w:t>产品</w:t>
      </w:r>
      <w:r>
        <w:rPr>
          <w:rFonts w:ascii="仿宋" w:eastAsia="仿宋" w:hAnsi="仿宋" w:hint="eastAsia"/>
          <w:sz w:val="32"/>
          <w:szCs w:val="32"/>
        </w:rPr>
        <w:t>的管理类别并参考专家意见确定了适用范围。</w:t>
      </w:r>
    </w:p>
    <w:p w:rsidR="00E76BFD" w:rsidRDefault="00332560">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二</w:t>
      </w:r>
      <w:r>
        <w:rPr>
          <w:rFonts w:ascii="仿宋" w:eastAsia="仿宋" w:hAnsi="仿宋" w:hint="eastAsia"/>
          <w:sz w:val="32"/>
          <w:szCs w:val="32"/>
        </w:rPr>
        <w:t>）根据产品注册要求，明确了产品研究资料部分，包括产品性能研究、生物相容性评价研究、灭菌工艺研究、</w:t>
      </w:r>
      <w:r>
        <w:rPr>
          <w:rFonts w:ascii="仿宋" w:eastAsia="仿宋" w:hAnsi="仿宋" w:hint="eastAsia"/>
          <w:sz w:val="32"/>
          <w:szCs w:val="32"/>
        </w:rPr>
        <w:lastRenderedPageBreak/>
        <w:t>产品包装和有效期研究；明确了产品生产工艺过程，及过程质量控制点；明确了产品的临床评价细化要求。</w:t>
      </w:r>
    </w:p>
    <w:p w:rsidR="00E76BFD" w:rsidRDefault="00332560">
      <w:pPr>
        <w:spacing w:line="560" w:lineRule="exact"/>
        <w:ind w:firstLineChars="200" w:firstLine="640"/>
        <w:rPr>
          <w:rFonts w:ascii="仿宋" w:eastAsia="仿宋" w:hAnsi="仿宋"/>
          <w:sz w:val="32"/>
          <w:szCs w:val="32"/>
        </w:rPr>
      </w:pPr>
      <w:r>
        <w:rPr>
          <w:rFonts w:ascii="仿宋" w:eastAsia="仿宋" w:hAnsi="仿宋" w:hint="eastAsia"/>
          <w:sz w:val="32"/>
          <w:szCs w:val="32"/>
        </w:rPr>
        <w:t>（</w:t>
      </w:r>
      <w:r>
        <w:rPr>
          <w:rFonts w:ascii="仿宋" w:eastAsia="仿宋" w:hAnsi="仿宋" w:hint="eastAsia"/>
          <w:sz w:val="32"/>
          <w:szCs w:val="32"/>
        </w:rPr>
        <w:t>三</w:t>
      </w:r>
      <w:r>
        <w:rPr>
          <w:rFonts w:ascii="仿宋" w:eastAsia="仿宋" w:hAnsi="仿宋" w:hint="eastAsia"/>
          <w:sz w:val="32"/>
          <w:szCs w:val="32"/>
        </w:rPr>
        <w:t>）企业生产制造应满足法规、质量管理体系的要求。</w:t>
      </w:r>
    </w:p>
    <w:p w:rsidR="00E76BFD" w:rsidRDefault="00332560">
      <w:pPr>
        <w:snapToGrid w:val="0"/>
        <w:spacing w:line="560" w:lineRule="exact"/>
        <w:ind w:firstLineChars="200" w:firstLine="640"/>
        <w:rPr>
          <w:rFonts w:ascii="黑体" w:eastAsia="黑体" w:hAnsi="宋体"/>
          <w:sz w:val="32"/>
          <w:szCs w:val="32"/>
        </w:rPr>
      </w:pPr>
      <w:r>
        <w:rPr>
          <w:rFonts w:ascii="黑体" w:eastAsia="黑体" w:hAnsi="宋体" w:hint="eastAsia"/>
          <w:sz w:val="32"/>
          <w:szCs w:val="32"/>
        </w:rPr>
        <w:t>四、指导原则编写单位</w:t>
      </w:r>
    </w:p>
    <w:p w:rsidR="00E76BFD" w:rsidRDefault="00332560">
      <w:pPr>
        <w:spacing w:line="560" w:lineRule="exact"/>
        <w:ind w:firstLineChars="200" w:firstLine="640"/>
        <w:rPr>
          <w:sz w:val="24"/>
        </w:rPr>
      </w:pPr>
      <w:r>
        <w:rPr>
          <w:rFonts w:ascii="仿宋" w:eastAsia="仿宋" w:hAnsi="仿宋" w:hint="eastAsia"/>
          <w:sz w:val="32"/>
          <w:szCs w:val="32"/>
        </w:rPr>
        <w:t>河南省药品审评查验中心</w:t>
      </w:r>
    </w:p>
    <w:p w:rsidR="00E76BFD" w:rsidRDefault="00E76BFD"/>
    <w:sectPr w:rsidR="00E76B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560" w:rsidRDefault="00332560" w:rsidP="00F41172">
      <w:r>
        <w:separator/>
      </w:r>
    </w:p>
  </w:endnote>
  <w:endnote w:type="continuationSeparator" w:id="0">
    <w:p w:rsidR="00332560" w:rsidRDefault="00332560" w:rsidP="00F4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560" w:rsidRDefault="00332560" w:rsidP="00F41172">
      <w:r>
        <w:separator/>
      </w:r>
    </w:p>
  </w:footnote>
  <w:footnote w:type="continuationSeparator" w:id="0">
    <w:p w:rsidR="00332560" w:rsidRDefault="00332560" w:rsidP="00F41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CB7C9B"/>
    <w:multiLevelType w:val="singleLevel"/>
    <w:tmpl w:val="1ECB7C9B"/>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c4NjM2Mjg1ZTI5M2MxMzRmZTNiY2E1ZmQ5MjllYzUifQ=="/>
  </w:docVars>
  <w:rsids>
    <w:rsidRoot w:val="2CB40694"/>
    <w:rsid w:val="00332560"/>
    <w:rsid w:val="00E76BFD"/>
    <w:rsid w:val="00F41172"/>
    <w:rsid w:val="09C43F22"/>
    <w:rsid w:val="0B7F7B23"/>
    <w:rsid w:val="0C2152DD"/>
    <w:rsid w:val="0E74069C"/>
    <w:rsid w:val="130B6C1F"/>
    <w:rsid w:val="189965F8"/>
    <w:rsid w:val="190C7C5F"/>
    <w:rsid w:val="198F6B63"/>
    <w:rsid w:val="19C26404"/>
    <w:rsid w:val="1A9209C4"/>
    <w:rsid w:val="1C3F64F6"/>
    <w:rsid w:val="1C426AA1"/>
    <w:rsid w:val="20264E43"/>
    <w:rsid w:val="20A63AF2"/>
    <w:rsid w:val="2652167D"/>
    <w:rsid w:val="268E133C"/>
    <w:rsid w:val="296D074E"/>
    <w:rsid w:val="2CB40694"/>
    <w:rsid w:val="2ED418E2"/>
    <w:rsid w:val="33C3594D"/>
    <w:rsid w:val="36241442"/>
    <w:rsid w:val="37513941"/>
    <w:rsid w:val="386C7810"/>
    <w:rsid w:val="39E756CC"/>
    <w:rsid w:val="39F96B6F"/>
    <w:rsid w:val="3BB4558A"/>
    <w:rsid w:val="3C8971C4"/>
    <w:rsid w:val="3EBE21C0"/>
    <w:rsid w:val="40E0471D"/>
    <w:rsid w:val="423513BE"/>
    <w:rsid w:val="42A64609"/>
    <w:rsid w:val="42D407A6"/>
    <w:rsid w:val="4A987126"/>
    <w:rsid w:val="4BD33FB5"/>
    <w:rsid w:val="4EC627E1"/>
    <w:rsid w:val="4ED72139"/>
    <w:rsid w:val="5370664C"/>
    <w:rsid w:val="5D3F2330"/>
    <w:rsid w:val="5E16194F"/>
    <w:rsid w:val="68146CA9"/>
    <w:rsid w:val="689342CC"/>
    <w:rsid w:val="72305973"/>
    <w:rsid w:val="74D80A36"/>
    <w:rsid w:val="75FC7EB4"/>
    <w:rsid w:val="77495D38"/>
    <w:rsid w:val="7EA33151"/>
    <w:rsid w:val="7FBF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4DD7DE9"/>
  <w15:docId w15:val="{9211DC66-65DE-4354-B967-5AE3C774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character" w:styleId="a4">
    <w:name w:val="annotation reference"/>
    <w:basedOn w:val="a0"/>
    <w:uiPriority w:val="99"/>
    <w:semiHidden/>
    <w:unhideWhenUsed/>
    <w:qFormat/>
    <w:rPr>
      <w:sz w:val="21"/>
      <w:szCs w:val="21"/>
    </w:rPr>
  </w:style>
  <w:style w:type="paragraph" w:styleId="a5">
    <w:name w:val="header"/>
    <w:basedOn w:val="a"/>
    <w:link w:val="a6"/>
    <w:rsid w:val="00F4117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F41172"/>
    <w:rPr>
      <w:kern w:val="2"/>
      <w:sz w:val="18"/>
      <w:szCs w:val="18"/>
    </w:rPr>
  </w:style>
  <w:style w:type="paragraph" w:styleId="a7">
    <w:name w:val="footer"/>
    <w:basedOn w:val="a"/>
    <w:link w:val="a8"/>
    <w:rsid w:val="00F41172"/>
    <w:pPr>
      <w:tabs>
        <w:tab w:val="center" w:pos="4153"/>
        <w:tab w:val="right" w:pos="8306"/>
      </w:tabs>
      <w:snapToGrid w:val="0"/>
      <w:jc w:val="left"/>
    </w:pPr>
    <w:rPr>
      <w:sz w:val="18"/>
      <w:szCs w:val="18"/>
    </w:rPr>
  </w:style>
  <w:style w:type="character" w:customStyle="1" w:styleId="a8">
    <w:name w:val="页脚 字符"/>
    <w:basedOn w:val="a0"/>
    <w:link w:val="a7"/>
    <w:rsid w:val="00F4117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ike.so.com/doc/6417243-6630915.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1007</Words>
  <Characters>5744</Characters>
  <Application>Microsoft Office Word</Application>
  <DocSecurity>0</DocSecurity>
  <Lines>47</Lines>
  <Paragraphs>13</Paragraphs>
  <ScaleCrop>false</ScaleCrop>
  <Company>神州网信技术有限公司</Company>
  <LinksUpToDate>false</LinksUpToDate>
  <CharactersWithSpaces>6738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高田</cp:lastModifiedBy>
  <cp:revision>2</cp:revision>
  <dcterms:created xsi:type="dcterms:W3CDTF">2022-09-26T08:04:00Z</dcterms:created>
  <dcterms:modified xsi:type="dcterms:W3CDTF">2022-11-14T03:22:00Z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0942096A578140C8B6B3F734358C5481</vt:lpwstr>
  </property>
</Properties>
</file>